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0E9AD" w14:textId="77777777" w:rsidR="006C53B7" w:rsidRPr="006C53B7" w:rsidRDefault="006C53B7">
      <w:pPr>
        <w:rPr>
          <w:b/>
        </w:rPr>
      </w:pPr>
      <w:r w:rsidRPr="006C53B7">
        <w:rPr>
          <w:b/>
        </w:rPr>
        <w:t>FAQs</w:t>
      </w:r>
    </w:p>
    <w:p w14:paraId="47816DB6" w14:textId="77777777" w:rsidR="007535E8" w:rsidRDefault="006C53B7">
      <w:pPr>
        <w:rPr>
          <w:b/>
        </w:rPr>
      </w:pPr>
      <w:r w:rsidRPr="006C53B7">
        <w:rPr>
          <w:b/>
        </w:rPr>
        <w:t>MENTAL HEALTH PRACTITIONERS</w:t>
      </w:r>
    </w:p>
    <w:p w14:paraId="4B5AAD1E" w14:textId="10AF70C6" w:rsidR="006C53B7" w:rsidRDefault="007E7DF7">
      <w:r w:rsidRPr="007E7DF7">
        <w:rPr>
          <w:b/>
        </w:rPr>
        <w:t>Why do Mental Health Practitioners have to be employed by the</w:t>
      </w:r>
      <w:r w:rsidR="006D1CF7">
        <w:rPr>
          <w:b/>
        </w:rPr>
        <w:t xml:space="preserve"> secondary care</w:t>
      </w:r>
      <w:r w:rsidRPr="007E7DF7">
        <w:rPr>
          <w:b/>
        </w:rPr>
        <w:t xml:space="preserve"> provider</w:t>
      </w:r>
      <w:r w:rsidR="006D1CF7" w:rsidRPr="006D1CF7">
        <w:rPr>
          <w:b/>
        </w:rPr>
        <w:t xml:space="preserve"> </w:t>
      </w:r>
      <w:r w:rsidR="006D1CF7">
        <w:rPr>
          <w:b/>
        </w:rPr>
        <w:t xml:space="preserve">of </w:t>
      </w:r>
      <w:r w:rsidR="006D1CF7" w:rsidRPr="007E7DF7">
        <w:rPr>
          <w:b/>
        </w:rPr>
        <w:t>community mental health</w:t>
      </w:r>
      <w:r w:rsidR="006D1CF7">
        <w:rPr>
          <w:b/>
        </w:rPr>
        <w:t xml:space="preserve"> services</w:t>
      </w:r>
      <w:r>
        <w:t>?</w:t>
      </w:r>
    </w:p>
    <w:p w14:paraId="68062C9E" w14:textId="43D70FD4" w:rsidR="006D1CF7" w:rsidRDefault="00D111F0" w:rsidP="003F4AE7">
      <w:pPr>
        <w:jc w:val="both"/>
      </w:pPr>
      <w:r>
        <w:t>The introduction of these roles is part of a wider transformation and expansion of</w:t>
      </w:r>
      <w:r w:rsidR="00953CAC">
        <w:t xml:space="preserve"> community-based</w:t>
      </w:r>
      <w:r>
        <w:t xml:space="preserve"> mental health services set out in the</w:t>
      </w:r>
      <w:r w:rsidR="00953CAC">
        <w:t xml:space="preserve"> NHS</w:t>
      </w:r>
      <w:r>
        <w:t xml:space="preserve"> Long Term Plan</w:t>
      </w:r>
      <w:r w:rsidR="003F4AE7">
        <w:t xml:space="preserve">. </w:t>
      </w:r>
      <w:r w:rsidR="00B944AA" w:rsidRPr="00B944AA">
        <w:t xml:space="preserve">The practitioner can access and draw down on secondary mental health services and provide a “bridge” between primary care and </w:t>
      </w:r>
      <w:r w:rsidR="00953CAC">
        <w:t>secondary</w:t>
      </w:r>
      <w:r w:rsidR="00B944AA" w:rsidRPr="00B944AA">
        <w:t xml:space="preserve"> mental health providers.</w:t>
      </w:r>
      <w:r w:rsidR="00953CAC">
        <w:t xml:space="preserve"> </w:t>
      </w:r>
    </w:p>
    <w:p w14:paraId="0E2BC94F" w14:textId="542A4A6C" w:rsidR="00CE50D0" w:rsidRDefault="00523BBF" w:rsidP="003F4AE7">
      <w:pPr>
        <w:jc w:val="both"/>
      </w:pPr>
      <w:r>
        <w:t>The practitioner</w:t>
      </w:r>
      <w:r w:rsidR="00953CAC">
        <w:t xml:space="preserve"> will be embedded as part of the PCN MDT</w:t>
      </w:r>
      <w:r w:rsidR="00F23131">
        <w:t xml:space="preserve"> work</w:t>
      </w:r>
      <w:r>
        <w:t>ing alongside the other roles and they will also part of the</w:t>
      </w:r>
      <w:r w:rsidR="00953CAC">
        <w:t xml:space="preserve"> community mental health MDT</w:t>
      </w:r>
      <w:r w:rsidR="006D1CF7">
        <w:t xml:space="preserve"> with ready access to a wide range of support and expertise across both MDTs.</w:t>
      </w:r>
      <w:r w:rsidR="00B944AA" w:rsidRPr="00B944AA">
        <w:t xml:space="preserve"> It is envisaged that the focus </w:t>
      </w:r>
      <w:r w:rsidR="006D1CF7">
        <w:t xml:space="preserve">of a practitioner’s work </w:t>
      </w:r>
      <w:r w:rsidR="00B944AA" w:rsidRPr="00B944AA">
        <w:t xml:space="preserve">will </w:t>
      </w:r>
      <w:r w:rsidR="006D1CF7">
        <w:t xml:space="preserve">generally </w:t>
      </w:r>
      <w:r w:rsidR="00B944AA" w:rsidRPr="00B944AA">
        <w:t xml:space="preserve">be people whose needs </w:t>
      </w:r>
      <w:r>
        <w:t>cannot</w:t>
      </w:r>
      <w:r w:rsidR="00953CAC" w:rsidRPr="00B944AA">
        <w:t xml:space="preserve"> </w:t>
      </w:r>
      <w:r w:rsidR="00B944AA" w:rsidRPr="00B944AA">
        <w:t>be met by IAPT</w:t>
      </w:r>
      <w:r w:rsidR="00953CAC">
        <w:t xml:space="preserve"> services</w:t>
      </w:r>
      <w:r w:rsidR="00B944AA" w:rsidRPr="00B944AA">
        <w:t xml:space="preserve"> but who </w:t>
      </w:r>
      <w:r w:rsidR="00953CAC">
        <w:t>may not need ongoing care from secondary care community</w:t>
      </w:r>
      <w:r w:rsidR="00B944AA" w:rsidRPr="00B944AA">
        <w:t xml:space="preserve"> mental health services</w:t>
      </w:r>
      <w:r>
        <w:t xml:space="preserve">. </w:t>
      </w:r>
      <w:r w:rsidRPr="00523BBF">
        <w:t xml:space="preserve">The practitioner can facilitate onward access to other secondary care-based </w:t>
      </w:r>
      <w:proofErr w:type="gramStart"/>
      <w:r w:rsidRPr="00523BBF">
        <w:t>services</w:t>
      </w:r>
      <w:proofErr w:type="gramEnd"/>
      <w:r w:rsidRPr="00523BBF">
        <w:t xml:space="preserve"> or third sector services integrated within the mental health pathway</w:t>
      </w:r>
      <w:r>
        <w:t>. L</w:t>
      </w:r>
      <w:r w:rsidR="006D1CF7">
        <w:t>ocal agreement will be needed on the scope o</w:t>
      </w:r>
      <w:r>
        <w:t xml:space="preserve">f the role based on the </w:t>
      </w:r>
      <w:r w:rsidR="006D1CF7">
        <w:t xml:space="preserve">parameters set out nationally. </w:t>
      </w:r>
    </w:p>
    <w:p w14:paraId="6D98F6B3" w14:textId="4A2581BA" w:rsidR="00523BBF" w:rsidRDefault="00523BBF" w:rsidP="003F4AE7">
      <w:pPr>
        <w:jc w:val="both"/>
      </w:pPr>
      <w:r w:rsidRPr="00523BBF">
        <w:t>A further benefit of this model is that it reduces the “employer” burden on the PCN and gives the PCN the benefit of a full time embedded mental health practitioner whilst only having to fund 50% of their costs (up to the maximum level of reimbursement). The practitioner will be supported by the provider’s robust clinical governance mechanisms to support safe, effective and high-quality practice.</w:t>
      </w:r>
      <w:r>
        <w:t xml:space="preserve"> The </w:t>
      </w:r>
      <w:r w:rsidR="008663E4">
        <w:t>model</w:t>
      </w:r>
      <w:r>
        <w:t xml:space="preserve"> facilitates a joint approach to recruitment and closer integration between primary care and secondary mental health </w:t>
      </w:r>
      <w:r w:rsidR="00E42F2B">
        <w:t>providers</w:t>
      </w:r>
      <w:r>
        <w:t>.</w:t>
      </w:r>
    </w:p>
    <w:p w14:paraId="32F24B83" w14:textId="56193875" w:rsidR="00D111F0" w:rsidRDefault="00D111F0">
      <w:pPr>
        <w:rPr>
          <w:b/>
        </w:rPr>
      </w:pPr>
      <w:r w:rsidRPr="00D111F0">
        <w:rPr>
          <w:b/>
        </w:rPr>
        <w:t xml:space="preserve">Our PCN has already employed a </w:t>
      </w:r>
      <w:r w:rsidR="00A915CB">
        <w:rPr>
          <w:b/>
        </w:rPr>
        <w:t>mental health</w:t>
      </w:r>
      <w:r w:rsidRPr="00D111F0">
        <w:rPr>
          <w:b/>
        </w:rPr>
        <w:t xml:space="preserve"> practitioner</w:t>
      </w:r>
      <w:r>
        <w:rPr>
          <w:b/>
        </w:rPr>
        <w:t>, what can we do?</w:t>
      </w:r>
    </w:p>
    <w:p w14:paraId="1447C06D" w14:textId="51B79311" w:rsidR="00D111F0" w:rsidRDefault="003F4AE7" w:rsidP="003F4AE7">
      <w:pPr>
        <w:jc w:val="both"/>
        <w:rPr>
          <w:b/>
        </w:rPr>
      </w:pPr>
      <w:r>
        <w:t xml:space="preserve">To be eligible for reimbursement </w:t>
      </w:r>
      <w:r w:rsidR="009D7963">
        <w:t xml:space="preserve">under the ARRS scheme, </w:t>
      </w:r>
      <w:r>
        <w:t xml:space="preserve">the </w:t>
      </w:r>
      <w:r w:rsidR="00A915CB">
        <w:t>mental health</w:t>
      </w:r>
      <w:r>
        <w:t xml:space="preserve"> practitioner must be employed by the </w:t>
      </w:r>
      <w:r w:rsidR="00953CAC">
        <w:t xml:space="preserve">secondary care of </w:t>
      </w:r>
      <w:r>
        <w:t>provider</w:t>
      </w:r>
      <w:r w:rsidR="00953CAC" w:rsidRPr="00953CAC">
        <w:t xml:space="preserve"> </w:t>
      </w:r>
      <w:r w:rsidR="00953CAC">
        <w:t>of community mental health services for adults and older adults</w:t>
      </w:r>
      <w:r>
        <w:t xml:space="preserve">.  We suggest that PCNs have a discussion with their local provider, supported by their CCG if necessary, to </w:t>
      </w:r>
      <w:r w:rsidR="00B944AA">
        <w:t xml:space="preserve">explore whether there </w:t>
      </w:r>
      <w:r w:rsidR="00445A3A">
        <w:t>are any potential options for</w:t>
      </w:r>
      <w:r w:rsidR="00B944AA">
        <w:t xml:space="preserve"> </w:t>
      </w:r>
      <w:r w:rsidR="006D1CF7">
        <w:t xml:space="preserve">mental health providers </w:t>
      </w:r>
      <w:r w:rsidR="00445A3A">
        <w:t xml:space="preserve">to take on the </w:t>
      </w:r>
      <w:r w:rsidR="00B944AA">
        <w:t xml:space="preserve">employment </w:t>
      </w:r>
      <w:r w:rsidR="00445A3A">
        <w:t>of staff already appointed</w:t>
      </w:r>
      <w:r w:rsidR="00B24DD1">
        <w:t xml:space="preserve"> by PCNs</w:t>
      </w:r>
      <w:r w:rsidR="00445A3A">
        <w:t>,</w:t>
      </w:r>
      <w:r w:rsidR="00B24DD1">
        <w:t xml:space="preserve"> in order to unlock</w:t>
      </w:r>
      <w:r w:rsidR="00445A3A">
        <w:t xml:space="preserve"> access to ARRS funding and deliver the benefits of the joint model</w:t>
      </w:r>
      <w:r w:rsidR="00B24DD1">
        <w:t>.</w:t>
      </w:r>
    </w:p>
    <w:p w14:paraId="1FADD54A" w14:textId="77777777" w:rsidR="00D111F0" w:rsidRDefault="00D111F0">
      <w:pPr>
        <w:rPr>
          <w:b/>
        </w:rPr>
      </w:pPr>
      <w:r>
        <w:rPr>
          <w:b/>
        </w:rPr>
        <w:t xml:space="preserve">We already have a contract with a local provider who isn’t the community mental health </w:t>
      </w:r>
      <w:proofErr w:type="gramStart"/>
      <w:r>
        <w:rPr>
          <w:b/>
        </w:rPr>
        <w:t>provider?</w:t>
      </w:r>
      <w:proofErr w:type="gramEnd"/>
      <w:r>
        <w:rPr>
          <w:b/>
        </w:rPr>
        <w:t xml:space="preserve"> </w:t>
      </w:r>
    </w:p>
    <w:p w14:paraId="6ADC3A7E" w14:textId="6834E79B" w:rsidR="00D111F0" w:rsidRDefault="003F4AE7" w:rsidP="002868F0">
      <w:pPr>
        <w:jc w:val="both"/>
        <w:rPr>
          <w:b/>
        </w:rPr>
      </w:pPr>
      <w:r w:rsidRPr="003F4AE7">
        <w:t>To be eligible for reimbursement</w:t>
      </w:r>
      <w:r w:rsidR="008576A1">
        <w:t xml:space="preserve"> through the ARRS</w:t>
      </w:r>
      <w:r w:rsidRPr="003F4AE7">
        <w:t xml:space="preserve"> the </w:t>
      </w:r>
      <w:r w:rsidR="00A915CB">
        <w:t>mental health</w:t>
      </w:r>
      <w:r w:rsidRPr="003F4AE7">
        <w:t xml:space="preserve"> practitioner must be employed by the community mental health provider.  We suggest that PCNs have a discussion with their local </w:t>
      </w:r>
      <w:r w:rsidR="00445A3A">
        <w:t xml:space="preserve">community mental </w:t>
      </w:r>
      <w:r w:rsidRPr="003F4AE7">
        <w:t>provider, supported by their CCG if necessary, to</w:t>
      </w:r>
      <w:r w:rsidR="00B944AA">
        <w:t xml:space="preserve"> </w:t>
      </w:r>
      <w:r w:rsidR="00B944AA" w:rsidRPr="00B944AA">
        <w:t>explore whether there are any potential options around employme</w:t>
      </w:r>
      <w:r w:rsidR="00445A3A">
        <w:t>nt by them for staff who have been recruited via another provider.</w:t>
      </w:r>
    </w:p>
    <w:p w14:paraId="390B71F9" w14:textId="77777777" w:rsidR="00F90906" w:rsidRDefault="00F90906">
      <w:pPr>
        <w:rPr>
          <w:b/>
        </w:rPr>
      </w:pPr>
    </w:p>
    <w:p w14:paraId="1DBCDFF9" w14:textId="28E01ED4" w:rsidR="00D111F0" w:rsidRDefault="00D111F0">
      <w:pPr>
        <w:rPr>
          <w:b/>
        </w:rPr>
      </w:pPr>
      <w:r w:rsidRPr="00D111F0">
        <w:rPr>
          <w:b/>
        </w:rPr>
        <w:lastRenderedPageBreak/>
        <w:t xml:space="preserve">Does it have to be the local community </w:t>
      </w:r>
      <w:r w:rsidR="00A915CB">
        <w:rPr>
          <w:b/>
        </w:rPr>
        <w:t>mental health</w:t>
      </w:r>
      <w:r w:rsidR="00A915CB" w:rsidRPr="00D111F0">
        <w:rPr>
          <w:b/>
        </w:rPr>
        <w:t xml:space="preserve"> </w:t>
      </w:r>
      <w:proofErr w:type="gramStart"/>
      <w:r w:rsidRPr="00D111F0">
        <w:rPr>
          <w:b/>
        </w:rPr>
        <w:t>provider</w:t>
      </w:r>
      <w:proofErr w:type="gramEnd"/>
      <w:r w:rsidRPr="00D111F0">
        <w:rPr>
          <w:b/>
        </w:rPr>
        <w:t xml:space="preserve"> or can it be a neighbouring one or other provider like MIND?</w:t>
      </w:r>
    </w:p>
    <w:p w14:paraId="71E91205" w14:textId="5C6419C6" w:rsidR="001B16B4" w:rsidRDefault="00A63F27" w:rsidP="002868F0">
      <w:pPr>
        <w:jc w:val="both"/>
      </w:pPr>
      <w:r>
        <w:t xml:space="preserve">The </w:t>
      </w:r>
      <w:r w:rsidR="00A915CB">
        <w:t xml:space="preserve">mental health </w:t>
      </w:r>
      <w:r>
        <w:t>practitioners need</w:t>
      </w:r>
      <w:r w:rsidRPr="00A63F27">
        <w:t xml:space="preserve"> to be employed by the </w:t>
      </w:r>
      <w:r w:rsidR="001B105B">
        <w:t xml:space="preserve">secondary care provider of </w:t>
      </w:r>
      <w:r>
        <w:t xml:space="preserve">community mental health </w:t>
      </w:r>
      <w:r w:rsidR="001B105B">
        <w:t xml:space="preserve">services </w:t>
      </w:r>
      <w:r>
        <w:t xml:space="preserve">that covers the PCN geography so that they can provide the necessary links and </w:t>
      </w:r>
      <w:r w:rsidR="00852B5E">
        <w:t xml:space="preserve">facilitate </w:t>
      </w:r>
      <w:r>
        <w:t>access to specialist mental health services</w:t>
      </w:r>
      <w:r w:rsidR="00852B5E">
        <w:t xml:space="preserve"> where this is clinically appropriate</w:t>
      </w:r>
      <w:r>
        <w:t>.</w:t>
      </w:r>
      <w:r w:rsidR="004B7580">
        <w:t xml:space="preserve"> A local Mind</w:t>
      </w:r>
      <w:r w:rsidR="00445A3A">
        <w:t>,</w:t>
      </w:r>
      <w:r w:rsidR="004B7580">
        <w:t xml:space="preserve"> </w:t>
      </w:r>
      <w:r w:rsidR="00445A3A">
        <w:t xml:space="preserve">or similar organisation, </w:t>
      </w:r>
      <w:r w:rsidR="004B7580">
        <w:t>would</w:t>
      </w:r>
      <w:r w:rsidR="006B5C5C">
        <w:t xml:space="preserve"> therefore</w:t>
      </w:r>
      <w:r w:rsidR="004B7580">
        <w:t xml:space="preserve"> not be an appropriate employing organisation for practitioner roles under the ARRS scheme</w:t>
      </w:r>
      <w:r w:rsidR="00762B25">
        <w:t xml:space="preserve"> and would render a PCN ineligible to receive reimbursement under the ARRS</w:t>
      </w:r>
      <w:r w:rsidR="004B7580">
        <w:t xml:space="preserve">. </w:t>
      </w:r>
    </w:p>
    <w:p w14:paraId="15653D5C" w14:textId="4F35F129" w:rsidR="002F13B2" w:rsidRDefault="002F13B2">
      <w:pPr>
        <w:rPr>
          <w:b/>
        </w:rPr>
      </w:pPr>
      <w:r w:rsidRPr="002F13B2">
        <w:rPr>
          <w:b/>
        </w:rPr>
        <w:t xml:space="preserve">Can we employ our own </w:t>
      </w:r>
      <w:r w:rsidR="00A915CB">
        <w:rPr>
          <w:b/>
        </w:rPr>
        <w:t>mental health</w:t>
      </w:r>
      <w:r w:rsidRPr="002F13B2">
        <w:rPr>
          <w:b/>
        </w:rPr>
        <w:t xml:space="preserve"> practitioners under the ARRS scheme in addition to those employed by the community </w:t>
      </w:r>
      <w:r w:rsidR="00A915CB">
        <w:rPr>
          <w:b/>
        </w:rPr>
        <w:t>mental health</w:t>
      </w:r>
      <w:r w:rsidRPr="002F13B2">
        <w:rPr>
          <w:b/>
        </w:rPr>
        <w:t xml:space="preserve"> provider?</w:t>
      </w:r>
    </w:p>
    <w:p w14:paraId="50467736" w14:textId="073DA004" w:rsidR="002868F0" w:rsidRDefault="002868F0" w:rsidP="00B944AA">
      <w:pPr>
        <w:jc w:val="both"/>
        <w:rPr>
          <w:b/>
        </w:rPr>
      </w:pPr>
      <w:r>
        <w:t>No. To be eligible for reimbursement under the ARRS the staff must be employed by the</w:t>
      </w:r>
      <w:r w:rsidR="00954E74">
        <w:t xml:space="preserve"> secondary care</w:t>
      </w:r>
      <w:r>
        <w:t xml:space="preserve"> </w:t>
      </w:r>
      <w:r w:rsidR="00954E74">
        <w:t xml:space="preserve">provider of </w:t>
      </w:r>
      <w:r>
        <w:t xml:space="preserve">community </w:t>
      </w:r>
      <w:r w:rsidR="00A915CB">
        <w:t>mental health</w:t>
      </w:r>
      <w:r>
        <w:t xml:space="preserve"> </w:t>
      </w:r>
      <w:r w:rsidR="00954E74">
        <w:t>services</w:t>
      </w:r>
      <w:r>
        <w:t>.</w:t>
      </w:r>
    </w:p>
    <w:p w14:paraId="3A5832E7" w14:textId="17356F86" w:rsidR="001B16B4" w:rsidRDefault="001B16B4">
      <w:pPr>
        <w:rPr>
          <w:b/>
        </w:rPr>
      </w:pPr>
      <w:r w:rsidRPr="001B16B4">
        <w:rPr>
          <w:b/>
        </w:rPr>
        <w:t xml:space="preserve">Will </w:t>
      </w:r>
      <w:r w:rsidR="00A915CB">
        <w:rPr>
          <w:b/>
        </w:rPr>
        <w:t>mental health</w:t>
      </w:r>
      <w:r w:rsidRPr="001B16B4">
        <w:rPr>
          <w:b/>
        </w:rPr>
        <w:t xml:space="preserve"> providers receive more money to </w:t>
      </w:r>
      <w:r>
        <w:rPr>
          <w:b/>
        </w:rPr>
        <w:t xml:space="preserve">fund their 50% contribution to these posts? </w:t>
      </w:r>
    </w:p>
    <w:p w14:paraId="64A58B0D" w14:textId="7893F8C7" w:rsidR="00D111F0" w:rsidRPr="00E42F2B" w:rsidRDefault="00F90906" w:rsidP="002868F0">
      <w:pPr>
        <w:jc w:val="both"/>
      </w:pPr>
      <w:r>
        <w:t>Yes,</w:t>
      </w:r>
      <w:r w:rsidR="00A63F27">
        <w:t xml:space="preserve"> mental health providers have received additional funding, as set out in the </w:t>
      </w:r>
      <w:proofErr w:type="gramStart"/>
      <w:r w:rsidR="00A63F27">
        <w:t>Long Term</w:t>
      </w:r>
      <w:proofErr w:type="gramEnd"/>
      <w:r w:rsidR="00A63F27">
        <w:t xml:space="preserve"> Plan. They have a contractual obligation to provide PCNs with a mental health practitioner.</w:t>
      </w:r>
      <w:r w:rsidR="002F13B2">
        <w:t xml:space="preserve"> CCGs must demonstrate that they have met the Mental Health investment standard.</w:t>
      </w:r>
    </w:p>
    <w:p w14:paraId="3DD46856" w14:textId="7804141C" w:rsidR="00D111F0" w:rsidRDefault="00D111F0" w:rsidP="00E42F2B">
      <w:pPr>
        <w:jc w:val="both"/>
        <w:rPr>
          <w:b/>
        </w:rPr>
      </w:pPr>
      <w:r>
        <w:rPr>
          <w:b/>
        </w:rPr>
        <w:t>How will we f</w:t>
      </w:r>
      <w:r w:rsidR="006A5540">
        <w:rPr>
          <w:b/>
        </w:rPr>
        <w:t>u</w:t>
      </w:r>
      <w:r>
        <w:rPr>
          <w:b/>
        </w:rPr>
        <w:t>nd on costs?</w:t>
      </w:r>
    </w:p>
    <w:p w14:paraId="18B37353" w14:textId="37AC2224" w:rsidR="002868F0" w:rsidRDefault="002F13B2">
      <w:r>
        <w:t>The ARRS fu</w:t>
      </w:r>
      <w:r w:rsidR="00A63F27">
        <w:t xml:space="preserve">nding </w:t>
      </w:r>
      <w:r>
        <w:t xml:space="preserve">covers </w:t>
      </w:r>
      <w:r w:rsidR="002868F0">
        <w:t>50% of the salary, NI and pension costs</w:t>
      </w:r>
      <w:r w:rsidR="00A915CB">
        <w:t>, up to a maximum reimbursable amount</w:t>
      </w:r>
      <w:r w:rsidR="00B944AA">
        <w:t xml:space="preserve"> for each of the indicative bands (5 – 8a)</w:t>
      </w:r>
      <w:r w:rsidR="008576A1">
        <w:t>, in line with the rules of the Scheme</w:t>
      </w:r>
    </w:p>
    <w:p w14:paraId="375C06F4" w14:textId="77777777" w:rsidR="006A5540" w:rsidRDefault="006A5540">
      <w:pPr>
        <w:rPr>
          <w:b/>
          <w:bCs/>
        </w:rPr>
      </w:pPr>
      <w:r>
        <w:rPr>
          <w:b/>
          <w:bCs/>
        </w:rPr>
        <w:t>What band practitioner are we able to employ?</w:t>
      </w:r>
    </w:p>
    <w:p w14:paraId="3CCE0D58" w14:textId="5D78DDA1" w:rsidR="007F5419" w:rsidRDefault="00E41B33" w:rsidP="003958CF">
      <w:pPr>
        <w:jc w:val="both"/>
      </w:pPr>
      <w:r>
        <w:t xml:space="preserve">This practitioner can be reimbursed through the ARRS from a band 5 to band 8a level. </w:t>
      </w:r>
      <w:r w:rsidR="007F5419">
        <w:t xml:space="preserve">As the GP Contract </w:t>
      </w:r>
      <w:r w:rsidR="00424BF1">
        <w:t>and NHS Standard Contract</w:t>
      </w:r>
      <w:r w:rsidR="00445A3A">
        <w:t xml:space="preserve"> set out, the practitioner can</w:t>
      </w:r>
      <w:r w:rsidR="00424BF1">
        <w:t xml:space="preserve"> be any clinical registered </w:t>
      </w:r>
      <w:r w:rsidR="00E42F2B">
        <w:t>role</w:t>
      </w:r>
      <w:r w:rsidR="00E42F2B" w:rsidRPr="00424BF1">
        <w:t xml:space="preserve"> </w:t>
      </w:r>
      <w:r w:rsidR="00E42F2B">
        <w:t>including</w:t>
      </w:r>
      <w:r w:rsidR="00424BF1">
        <w:t xml:space="preserve"> a Community Psychiatric Nurse, Clinical Psychologist, or Mental Health Occupational Therapist.</w:t>
      </w:r>
      <w:r w:rsidR="001D1ED1">
        <w:t xml:space="preserve"> This is not an exhaustive or definitive list and local partners may wish to explore other types of roles that fulfil the same criteria.</w:t>
      </w:r>
    </w:p>
    <w:p w14:paraId="60838346" w14:textId="51EEF493" w:rsidR="006A5540" w:rsidRPr="003958CF" w:rsidRDefault="006A5540" w:rsidP="003958CF">
      <w:pPr>
        <w:jc w:val="both"/>
      </w:pPr>
      <w:r>
        <w:t>The PCN and the community mental health provider should work together to find a practitioner m</w:t>
      </w:r>
      <w:r w:rsidR="003958CF">
        <w:t>o</w:t>
      </w:r>
      <w:r>
        <w:t>st suited to the PCN’s</w:t>
      </w:r>
      <w:r w:rsidR="00F94738">
        <w:t xml:space="preserve"> population</w:t>
      </w:r>
      <w:r w:rsidR="00E9413A">
        <w:t xml:space="preserve"> mental health</w:t>
      </w:r>
      <w:r>
        <w:t xml:space="preserve"> needs</w:t>
      </w:r>
      <w:r w:rsidR="001D1ED1">
        <w:t>,</w:t>
      </w:r>
      <w:r w:rsidR="00E9413A">
        <w:t xml:space="preserve"> taking into consideration local </w:t>
      </w:r>
      <w:r w:rsidR="006C7DEA">
        <w:t xml:space="preserve">mental health </w:t>
      </w:r>
      <w:r w:rsidR="00E9413A">
        <w:t>workforce availability and pressures</w:t>
      </w:r>
      <w:r>
        <w:t xml:space="preserve">. </w:t>
      </w:r>
    </w:p>
    <w:p w14:paraId="304FFCF5" w14:textId="4F846B5C" w:rsidR="001B16B4" w:rsidRDefault="001B16B4">
      <w:pPr>
        <w:rPr>
          <w:b/>
        </w:rPr>
      </w:pPr>
      <w:r>
        <w:rPr>
          <w:b/>
        </w:rPr>
        <w:t xml:space="preserve">Who will be the employer and line manager for the </w:t>
      </w:r>
      <w:r w:rsidR="00A915CB">
        <w:rPr>
          <w:b/>
        </w:rPr>
        <w:t>mental health</w:t>
      </w:r>
      <w:r>
        <w:rPr>
          <w:b/>
        </w:rPr>
        <w:t xml:space="preserve"> practitioners? </w:t>
      </w:r>
    </w:p>
    <w:p w14:paraId="53E3A49E" w14:textId="35EDE6CB" w:rsidR="002868F0" w:rsidRPr="002868F0" w:rsidRDefault="002868F0" w:rsidP="002868F0">
      <w:pPr>
        <w:jc w:val="both"/>
      </w:pPr>
      <w:r w:rsidRPr="002868F0">
        <w:t>The c</w:t>
      </w:r>
      <w:r>
        <w:t xml:space="preserve">ommunity mental health provider will be the employer and provide line </w:t>
      </w:r>
      <w:proofErr w:type="gramStart"/>
      <w:r>
        <w:t>management</w:t>
      </w:r>
      <w:proofErr w:type="gramEnd"/>
      <w:r>
        <w:t xml:space="preserve"> but the mental health practitioner will be fully embedded in the PCN and part of the PCN MDT. The PCN will agree their job description and scope of duties with the community mental health provider</w:t>
      </w:r>
      <w:r w:rsidR="000D021C">
        <w:t>. NHSEI</w:t>
      </w:r>
      <w:r w:rsidR="00360D6A">
        <w:t xml:space="preserve"> have developed</w:t>
      </w:r>
      <w:r>
        <w:t xml:space="preserve"> </w:t>
      </w:r>
      <w:hyperlink r:id="rId10" w:history="1">
        <w:r w:rsidRPr="00345AE1">
          <w:rPr>
            <w:rStyle w:val="Hyperlink"/>
          </w:rPr>
          <w:t>guidance on employment models</w:t>
        </w:r>
      </w:hyperlink>
      <w:r>
        <w:t xml:space="preserve">, including a template service level agreement, which PCNs may find helpful. </w:t>
      </w:r>
    </w:p>
    <w:p w14:paraId="45C6EB67" w14:textId="77777777" w:rsidR="00F90906" w:rsidRDefault="00F90906">
      <w:pPr>
        <w:rPr>
          <w:b/>
        </w:rPr>
      </w:pPr>
    </w:p>
    <w:p w14:paraId="2139D9A4" w14:textId="77777777" w:rsidR="00F90906" w:rsidRDefault="00F90906">
      <w:pPr>
        <w:rPr>
          <w:b/>
        </w:rPr>
      </w:pPr>
    </w:p>
    <w:p w14:paraId="5F2F32B0" w14:textId="7B41AA94" w:rsidR="001B16B4" w:rsidRDefault="001B16B4">
      <w:pPr>
        <w:rPr>
          <w:b/>
        </w:rPr>
      </w:pPr>
      <w:r>
        <w:rPr>
          <w:b/>
        </w:rPr>
        <w:lastRenderedPageBreak/>
        <w:t>Who</w:t>
      </w:r>
      <w:r w:rsidR="00B944AA">
        <w:rPr>
          <w:b/>
        </w:rPr>
        <w:t xml:space="preserve"> will have HR </w:t>
      </w:r>
      <w:r w:rsidR="000D021C">
        <w:rPr>
          <w:b/>
        </w:rPr>
        <w:t xml:space="preserve">responsibility? </w:t>
      </w:r>
      <w:bookmarkStart w:id="0" w:name="_GoBack"/>
      <w:bookmarkEnd w:id="0"/>
    </w:p>
    <w:p w14:paraId="3087708C" w14:textId="76F6424A" w:rsidR="007E7DF7" w:rsidRPr="00345AE1" w:rsidRDefault="00563A4E" w:rsidP="00345AE1">
      <w:pPr>
        <w:jc w:val="both"/>
      </w:pPr>
      <w:r w:rsidRPr="00563A4E">
        <w:t>The community mental health provider</w:t>
      </w:r>
      <w:r>
        <w:t xml:space="preserve"> will indemnify the mental health practitioners</w:t>
      </w:r>
      <w:r w:rsidR="00B944AA">
        <w:t xml:space="preserve"> and will be responsible for all HR management in line with usual employer responsibilities</w:t>
      </w:r>
      <w:r>
        <w:t xml:space="preserve">. We suggest that the PCN agrees with the provider how staff will be supported whilst working in primary care and how </w:t>
      </w:r>
      <w:r w:rsidR="00B944AA">
        <w:t>any feedback for appraisal, including compliments or any concerns</w:t>
      </w:r>
      <w:r>
        <w:t xml:space="preserve"> about performance</w:t>
      </w:r>
      <w:r w:rsidR="00B944AA">
        <w:t>, will be shared</w:t>
      </w:r>
      <w:r>
        <w:t xml:space="preserve"> and addressed. </w:t>
      </w:r>
      <w:r w:rsidR="00A915CB">
        <w:t xml:space="preserve">NHSEI has produced support </w:t>
      </w:r>
      <w:r>
        <w:t xml:space="preserve">on </w:t>
      </w:r>
      <w:hyperlink r:id="rId11" w:history="1">
        <w:r w:rsidRPr="00345AE1">
          <w:rPr>
            <w:rStyle w:val="Hyperlink"/>
          </w:rPr>
          <w:t>employment models here</w:t>
        </w:r>
      </w:hyperlink>
      <w:r w:rsidR="00A915CB">
        <w:t xml:space="preserve"> which may be of help</w:t>
      </w:r>
      <w:r w:rsidR="00345AE1">
        <w:t>.</w:t>
      </w:r>
    </w:p>
    <w:p w14:paraId="56F57B42" w14:textId="04BDE7E9" w:rsidR="007E7DF7" w:rsidRDefault="007E7DF7">
      <w:pPr>
        <w:rPr>
          <w:b/>
        </w:rPr>
      </w:pPr>
      <w:r>
        <w:rPr>
          <w:b/>
        </w:rPr>
        <w:t xml:space="preserve">Can the </w:t>
      </w:r>
      <w:r w:rsidR="00A915CB">
        <w:rPr>
          <w:b/>
        </w:rPr>
        <w:t>mental health</w:t>
      </w:r>
      <w:r>
        <w:rPr>
          <w:b/>
        </w:rPr>
        <w:t xml:space="preserve"> practitioner see Children and Young People?</w:t>
      </w:r>
    </w:p>
    <w:p w14:paraId="228668FF" w14:textId="1DAD9991" w:rsidR="00D111F0" w:rsidRDefault="004637C5" w:rsidP="00FF2841">
      <w:pPr>
        <w:jc w:val="both"/>
        <w:rPr>
          <w:b/>
        </w:rPr>
      </w:pPr>
      <w:r w:rsidRPr="004637C5">
        <w:t xml:space="preserve">The </w:t>
      </w:r>
      <w:r>
        <w:t xml:space="preserve">post is intended to support adults and older people but PCNs can secure a </w:t>
      </w:r>
      <w:r w:rsidR="00914587">
        <w:t xml:space="preserve">children and young people’s mental health </w:t>
      </w:r>
      <w:r>
        <w:t>practitioner under the same model</w:t>
      </w:r>
      <w:r w:rsidR="00670865">
        <w:t>,</w:t>
      </w:r>
      <w:r>
        <w:t xml:space="preserve"> with the agreement of the mental health provider</w:t>
      </w:r>
      <w:r w:rsidR="00B77390">
        <w:t>.</w:t>
      </w:r>
      <w:r w:rsidR="00235F50">
        <w:t xml:space="preserve"> There is no</w:t>
      </w:r>
      <w:r w:rsidR="008B1F74">
        <w:t xml:space="preserve"> contractual</w:t>
      </w:r>
      <w:r w:rsidR="00235F50">
        <w:t xml:space="preserve"> obligation on secondary care providers to </w:t>
      </w:r>
      <w:r w:rsidR="008B1F74">
        <w:t>supply this role</w:t>
      </w:r>
      <w:r w:rsidR="00360D6A">
        <w:t xml:space="preserve"> </w:t>
      </w:r>
      <w:r w:rsidR="00530273">
        <w:t xml:space="preserve">in the same way </w:t>
      </w:r>
      <w:r w:rsidR="00B675BE">
        <w:t>that there is for the adult and older adult role. However,</w:t>
      </w:r>
      <w:r w:rsidR="00F84888">
        <w:t xml:space="preserve"> PCNs and secondary care providers of children and young people’s community mental health services can pursue this arrangement if both parties believe it is desirable and practicable.</w:t>
      </w:r>
    </w:p>
    <w:p w14:paraId="1976C632" w14:textId="77777777" w:rsidR="00D111F0" w:rsidRDefault="00D111F0">
      <w:pPr>
        <w:rPr>
          <w:b/>
        </w:rPr>
      </w:pPr>
      <w:r>
        <w:rPr>
          <w:b/>
        </w:rPr>
        <w:t>Can we employ our own CYP practitioner under the ARRS scheme?</w:t>
      </w:r>
    </w:p>
    <w:p w14:paraId="7C9E318B" w14:textId="5140C044" w:rsidR="007E7DF7" w:rsidRDefault="004637C5" w:rsidP="00FF2841">
      <w:pPr>
        <w:jc w:val="both"/>
        <w:rPr>
          <w:b/>
        </w:rPr>
      </w:pPr>
      <w:r>
        <w:t>To be eligible for reimbursement under the ARRS</w:t>
      </w:r>
      <w:r w:rsidR="00B675BE">
        <w:t>,</w:t>
      </w:r>
      <w:r>
        <w:t xml:space="preserve"> the CYP practitioner must be employed by the</w:t>
      </w:r>
      <w:r w:rsidR="00180945">
        <w:t xml:space="preserve"> local</w:t>
      </w:r>
      <w:r>
        <w:t xml:space="preserve"> </w:t>
      </w:r>
      <w:r w:rsidR="00180945">
        <w:t xml:space="preserve">secondary care </w:t>
      </w:r>
      <w:r>
        <w:t>provider</w:t>
      </w:r>
      <w:r w:rsidR="00670865">
        <w:t xml:space="preserve"> </w:t>
      </w:r>
      <w:r w:rsidR="00180945">
        <w:t>of community mental health services for children and young people</w:t>
      </w:r>
      <w:r w:rsidR="00220CD9">
        <w:t>.</w:t>
      </w:r>
      <w:r w:rsidR="00180945">
        <w:t xml:space="preserve"> </w:t>
      </w:r>
    </w:p>
    <w:p w14:paraId="5BDFA957" w14:textId="77777777" w:rsidR="007E7DF7" w:rsidRDefault="001B16B4">
      <w:pPr>
        <w:rPr>
          <w:b/>
        </w:rPr>
      </w:pPr>
      <w:r>
        <w:rPr>
          <w:b/>
        </w:rPr>
        <w:t>How will</w:t>
      </w:r>
      <w:r w:rsidR="007E7DF7">
        <w:rPr>
          <w:b/>
        </w:rPr>
        <w:t xml:space="preserve"> </w:t>
      </w:r>
      <w:r>
        <w:rPr>
          <w:b/>
        </w:rPr>
        <w:t>we</w:t>
      </w:r>
      <w:r w:rsidR="007E7DF7">
        <w:rPr>
          <w:b/>
        </w:rPr>
        <w:t xml:space="preserve"> recruit </w:t>
      </w:r>
      <w:r>
        <w:rPr>
          <w:b/>
        </w:rPr>
        <w:t>to these posts when there is</w:t>
      </w:r>
      <w:r w:rsidR="007E7DF7">
        <w:rPr>
          <w:b/>
        </w:rPr>
        <w:t xml:space="preserve"> already </w:t>
      </w:r>
      <w:r>
        <w:rPr>
          <w:b/>
        </w:rPr>
        <w:t>a shortage</w:t>
      </w:r>
      <w:r w:rsidR="00A915CB">
        <w:rPr>
          <w:b/>
        </w:rPr>
        <w:t xml:space="preserve"> of staff</w:t>
      </w:r>
      <w:r w:rsidR="007E7DF7">
        <w:rPr>
          <w:b/>
        </w:rPr>
        <w:t>?</w:t>
      </w:r>
    </w:p>
    <w:p w14:paraId="1F6F5CAE" w14:textId="415E61A7" w:rsidR="00670865" w:rsidRDefault="00670865" w:rsidP="004637C5">
      <w:pPr>
        <w:jc w:val="both"/>
      </w:pPr>
      <w:r>
        <w:t>We beli</w:t>
      </w:r>
      <w:r w:rsidR="00917897">
        <w:t>e</w:t>
      </w:r>
      <w:r>
        <w:t xml:space="preserve">ve that </w:t>
      </w:r>
      <w:r w:rsidR="003E56AD">
        <w:t>PCNs and the</w:t>
      </w:r>
      <w:r>
        <w:t xml:space="preserve"> </w:t>
      </w:r>
      <w:r w:rsidR="003E56AD">
        <w:t xml:space="preserve">local mental health provider </w:t>
      </w:r>
      <w:r>
        <w:t>working collaboratively</w:t>
      </w:r>
      <w:r w:rsidR="00917897">
        <w:t xml:space="preserve"> will provide an opportunity to create</w:t>
      </w:r>
      <w:r w:rsidR="000D021C">
        <w:t xml:space="preserve"> innovative post</w:t>
      </w:r>
      <w:r w:rsidR="003E56AD">
        <w:t>s where</w:t>
      </w:r>
      <w:r w:rsidR="00917897">
        <w:t xml:space="preserve"> care </w:t>
      </w:r>
      <w:r w:rsidR="00C76C83">
        <w:t>will be</w:t>
      </w:r>
      <w:r w:rsidR="00917897">
        <w:t xml:space="preserve"> provided </w:t>
      </w:r>
      <w:r w:rsidR="003E56AD">
        <w:t xml:space="preserve">closer to people’s </w:t>
      </w:r>
      <w:r w:rsidR="00917897">
        <w:t>home</w:t>
      </w:r>
      <w:r w:rsidR="009F4917">
        <w:t>s and communities</w:t>
      </w:r>
      <w:r w:rsidR="00917897">
        <w:t xml:space="preserve">. </w:t>
      </w:r>
      <w:r w:rsidR="003E56AD">
        <w:t xml:space="preserve">It </w:t>
      </w:r>
      <w:r w:rsidR="003E56AD" w:rsidRPr="003E56AD">
        <w:t xml:space="preserve">provides a unique and exciting opportunity to work in primary care as part of the wider PCN team </w:t>
      </w:r>
      <w:r w:rsidR="007B207A">
        <w:t>and will be attractive to staff as</w:t>
      </w:r>
      <w:r w:rsidR="003E56AD">
        <w:t xml:space="preserve"> part of</w:t>
      </w:r>
      <w:r w:rsidR="00CE50D0">
        <w:t xml:space="preserve"> the </w:t>
      </w:r>
      <w:r w:rsidR="003E56AD">
        <w:t xml:space="preserve">wider </w:t>
      </w:r>
      <w:r w:rsidR="00880A2A">
        <w:t>development of new and integrated models of primary and com</w:t>
      </w:r>
      <w:r w:rsidR="007B207A">
        <w:t>munity mental health services</w:t>
      </w:r>
      <w:r w:rsidR="003E56AD">
        <w:t xml:space="preserve"> set out in the</w:t>
      </w:r>
      <w:r w:rsidR="00880A2A">
        <w:t xml:space="preserve"> </w:t>
      </w:r>
      <w:proofErr w:type="gramStart"/>
      <w:r w:rsidR="00880A2A">
        <w:t>Long Term</w:t>
      </w:r>
      <w:proofErr w:type="gramEnd"/>
      <w:r w:rsidR="007B207A">
        <w:t xml:space="preserve"> Plan</w:t>
      </w:r>
      <w:r w:rsidR="003E56AD">
        <w:t xml:space="preserve">. </w:t>
      </w:r>
      <w:r w:rsidR="00917897">
        <w:t xml:space="preserve"> </w:t>
      </w:r>
    </w:p>
    <w:p w14:paraId="2E705496" w14:textId="384520FD" w:rsidR="001B16B4" w:rsidRDefault="00633407" w:rsidP="004637C5">
      <w:pPr>
        <w:jc w:val="both"/>
      </w:pPr>
      <w:r>
        <w:t xml:space="preserve"> We will be</w:t>
      </w:r>
      <w:r w:rsidR="004637C5">
        <w:t xml:space="preserve"> using the workforce planning returns that PCNs submit to develop a supply and demand model across the ARRS roles </w:t>
      </w:r>
      <w:r w:rsidR="00864BAF">
        <w:t>and working with H</w:t>
      </w:r>
      <w:r w:rsidR="004637C5">
        <w:t xml:space="preserve">ealth Education England to ensure a pipeline of staff </w:t>
      </w:r>
      <w:r>
        <w:t xml:space="preserve">are available </w:t>
      </w:r>
      <w:r w:rsidR="004637C5">
        <w:t>for primary care going forwards.</w:t>
      </w:r>
    </w:p>
    <w:p w14:paraId="038E6FC6" w14:textId="4190F3DA" w:rsidR="003958CF" w:rsidRDefault="003958CF" w:rsidP="004637C5">
      <w:pPr>
        <w:jc w:val="both"/>
        <w:rPr>
          <w:b/>
        </w:rPr>
      </w:pPr>
      <w:r>
        <w:t xml:space="preserve">We also anticipate that </w:t>
      </w:r>
      <w:r w:rsidR="00587864">
        <w:t>earlier timely intervention</w:t>
      </w:r>
      <w:r>
        <w:t xml:space="preserve"> may reduce </w:t>
      </w:r>
      <w:r w:rsidR="00587864">
        <w:t xml:space="preserve">escalation of </w:t>
      </w:r>
      <w:proofErr w:type="gramStart"/>
      <w:r w:rsidR="00587864">
        <w:t>needs,</w:t>
      </w:r>
      <w:r>
        <w:t xml:space="preserve"> </w:t>
      </w:r>
      <w:r w:rsidR="004A7309">
        <w:t>and</w:t>
      </w:r>
      <w:proofErr w:type="gramEnd"/>
      <w:r w:rsidR="004A7309">
        <w:t xml:space="preserve"> will allow secondary care community mental health services to </w:t>
      </w:r>
      <w:r w:rsidR="00B563C4">
        <w:t>dedicate more resources to</w:t>
      </w:r>
      <w:r w:rsidR="004A7309">
        <w:t xml:space="preserve"> improving access and quality for people with </w:t>
      </w:r>
      <w:r w:rsidR="00B563C4">
        <w:t>more severe and complex needs.</w:t>
      </w:r>
      <w:r w:rsidR="00587864">
        <w:t xml:space="preserve"> This is ultimately the direction of travel of the Long Term Plan and </w:t>
      </w:r>
      <w:hyperlink r:id="rId12" w:history="1">
        <w:r w:rsidR="00587864" w:rsidRPr="003A726C">
          <w:rPr>
            <w:rStyle w:val="Hyperlink"/>
          </w:rPr>
          <w:t xml:space="preserve">the </w:t>
        </w:r>
        <w:r w:rsidR="003A726C" w:rsidRPr="003A726C">
          <w:rPr>
            <w:rStyle w:val="Hyperlink"/>
          </w:rPr>
          <w:t>Community Mental Health Framework</w:t>
        </w:r>
      </w:hyperlink>
      <w:r w:rsidR="003A726C">
        <w:t>.</w:t>
      </w:r>
    </w:p>
    <w:p w14:paraId="1B3876AD" w14:textId="39A187CA" w:rsidR="001B16B4" w:rsidRDefault="001B16B4">
      <w:pPr>
        <w:rPr>
          <w:b/>
        </w:rPr>
      </w:pPr>
      <w:r>
        <w:rPr>
          <w:b/>
        </w:rPr>
        <w:t xml:space="preserve">Do these staff have to be additional to current </w:t>
      </w:r>
      <w:r w:rsidR="00A915CB">
        <w:rPr>
          <w:b/>
        </w:rPr>
        <w:t>mental health</w:t>
      </w:r>
      <w:r>
        <w:rPr>
          <w:b/>
        </w:rPr>
        <w:t xml:space="preserve"> staff – the same as the ARRS staff in primary care? Will </w:t>
      </w:r>
      <w:r w:rsidR="00A915CB">
        <w:rPr>
          <w:b/>
        </w:rPr>
        <w:t>mental health</w:t>
      </w:r>
      <w:r>
        <w:rPr>
          <w:b/>
        </w:rPr>
        <w:t xml:space="preserve"> providers just use them t</w:t>
      </w:r>
      <w:r w:rsidR="00D111F0">
        <w:rPr>
          <w:b/>
        </w:rPr>
        <w:t>o fill their current vacancies or use them for services under pressure such as ADHD?</w:t>
      </w:r>
    </w:p>
    <w:p w14:paraId="3363946E" w14:textId="1B8115BF" w:rsidR="00FF2841" w:rsidRDefault="00FF2841" w:rsidP="00FF2841">
      <w:pPr>
        <w:jc w:val="both"/>
      </w:pPr>
      <w:r>
        <w:t>The MH provider must provide a role which is additional to:</w:t>
      </w:r>
    </w:p>
    <w:p w14:paraId="0E42160F" w14:textId="0DE40351" w:rsidR="00FF2841" w:rsidRDefault="00FF2841" w:rsidP="00FF2841">
      <w:pPr>
        <w:pStyle w:val="ListParagraph"/>
        <w:numPr>
          <w:ilvl w:val="0"/>
          <w:numId w:val="2"/>
        </w:numPr>
        <w:jc w:val="both"/>
      </w:pPr>
      <w:r>
        <w:t xml:space="preserve">any role </w:t>
      </w:r>
      <w:r w:rsidR="0002282B">
        <w:t xml:space="preserve">already </w:t>
      </w:r>
      <w:r>
        <w:t xml:space="preserve">provided by them to work as a member of a general practice </w:t>
      </w:r>
      <w:r w:rsidR="009B597F">
        <w:t xml:space="preserve">or PCN core </w:t>
      </w:r>
      <w:r>
        <w:t xml:space="preserve">team; and </w:t>
      </w:r>
    </w:p>
    <w:p w14:paraId="6EAF4263" w14:textId="1854E59D" w:rsidR="00FF2841" w:rsidRDefault="00FF2841" w:rsidP="00FF2841">
      <w:pPr>
        <w:pStyle w:val="ListParagraph"/>
        <w:numPr>
          <w:ilvl w:val="0"/>
          <w:numId w:val="2"/>
        </w:numPr>
        <w:jc w:val="both"/>
      </w:pPr>
      <w:r>
        <w:t>any co-located IAPT practitioner.</w:t>
      </w:r>
    </w:p>
    <w:p w14:paraId="50B51563" w14:textId="3C1CC7B2" w:rsidR="007E7DF7" w:rsidRDefault="0083664C" w:rsidP="00E42F2B">
      <w:pPr>
        <w:jc w:val="both"/>
      </w:pPr>
      <w:r>
        <w:lastRenderedPageBreak/>
        <w:t>The post holder will be fully embedded in the PCN and working to a job description developed by the PCN and the mental health provider.</w:t>
      </w:r>
    </w:p>
    <w:p w14:paraId="6B9D7BCC" w14:textId="5F0FFB77" w:rsidR="00320279" w:rsidRDefault="001B4324" w:rsidP="00E42F2B">
      <w:pPr>
        <w:jc w:val="both"/>
        <w:rPr>
          <w:b/>
        </w:rPr>
      </w:pPr>
      <w:r>
        <w:t xml:space="preserve">PCNs </w:t>
      </w:r>
      <w:r w:rsidR="009D3DE8">
        <w:t>that are already within community mental</w:t>
      </w:r>
      <w:r w:rsidR="007C1DFB">
        <w:t xml:space="preserve"> health transformation</w:t>
      </w:r>
      <w:r w:rsidR="009D3DE8">
        <w:t xml:space="preserve"> ‘earl</w:t>
      </w:r>
      <w:r w:rsidR="006743E5">
        <w:t xml:space="preserve">y implementer’ </w:t>
      </w:r>
      <w:proofErr w:type="gramStart"/>
      <w:r w:rsidR="006743E5">
        <w:t>site</w:t>
      </w:r>
      <w:r w:rsidR="007C1DFB">
        <w:t xml:space="preserve">s </w:t>
      </w:r>
      <w:r w:rsidR="006743E5">
        <w:t xml:space="preserve"> that</w:t>
      </w:r>
      <w:proofErr w:type="gramEnd"/>
      <w:r w:rsidR="00AC53EA">
        <w:t xml:space="preserve"> choose to take up this </w:t>
      </w:r>
      <w:r w:rsidR="006743E5">
        <w:t>arrangement,  should work with partners to</w:t>
      </w:r>
      <w:r w:rsidR="00AC53EA">
        <w:t xml:space="preserve"> ensure </w:t>
      </w:r>
      <w:r w:rsidR="0013519C" w:rsidRPr="0013519C">
        <w:t xml:space="preserve"> that </w:t>
      </w:r>
      <w:r w:rsidR="007C1DFB">
        <w:t xml:space="preserve">adoption of ARRS </w:t>
      </w:r>
      <w:r w:rsidR="0013519C">
        <w:t>builds</w:t>
      </w:r>
      <w:r w:rsidR="0013519C" w:rsidRPr="0013519C">
        <w:t xml:space="preserve"> on and complements the new mo</w:t>
      </w:r>
      <w:r w:rsidR="006743E5">
        <w:t>dels and progress made to date.</w:t>
      </w:r>
    </w:p>
    <w:p w14:paraId="4E025466" w14:textId="1764FA93" w:rsidR="007E7DF7" w:rsidRDefault="001B16B4" w:rsidP="00E42F2B">
      <w:pPr>
        <w:jc w:val="both"/>
        <w:rPr>
          <w:b/>
        </w:rPr>
      </w:pPr>
      <w:r>
        <w:rPr>
          <w:b/>
        </w:rPr>
        <w:t xml:space="preserve">Are we limited to 1.00 </w:t>
      </w:r>
      <w:r w:rsidR="009F55E0">
        <w:rPr>
          <w:b/>
        </w:rPr>
        <w:t xml:space="preserve">WTE </w:t>
      </w:r>
      <w:r w:rsidR="00A915CB">
        <w:rPr>
          <w:b/>
        </w:rPr>
        <w:t>mental health</w:t>
      </w:r>
      <w:r>
        <w:rPr>
          <w:b/>
        </w:rPr>
        <w:t xml:space="preserve"> practitioner per PCN and c</w:t>
      </w:r>
      <w:r w:rsidR="007E7DF7">
        <w:rPr>
          <w:b/>
        </w:rPr>
        <w:t xml:space="preserve">an larger PCNs </w:t>
      </w:r>
      <w:r>
        <w:rPr>
          <w:b/>
        </w:rPr>
        <w:t>recruit more staff?</w:t>
      </w:r>
    </w:p>
    <w:p w14:paraId="4A6CBA4D" w14:textId="6194332F" w:rsidR="001B16B4" w:rsidRDefault="004F6A34" w:rsidP="00E42F2B">
      <w:pPr>
        <w:jc w:val="both"/>
        <w:rPr>
          <w:b/>
        </w:rPr>
      </w:pPr>
      <w:r>
        <w:t xml:space="preserve">The proposed staffing levels are intended to reflect PCN size and increase each year, subject to positive review. In 21/22 they are 1 </w:t>
      </w:r>
      <w:r w:rsidR="009F55E0">
        <w:t xml:space="preserve">WTE </w:t>
      </w:r>
      <w:r>
        <w:t xml:space="preserve">per PCN </w:t>
      </w:r>
      <w:r w:rsidR="00633407">
        <w:t xml:space="preserve">size of 99,999 </w:t>
      </w:r>
      <w:r>
        <w:t xml:space="preserve">and 2 </w:t>
      </w:r>
      <w:r w:rsidR="009F55E0">
        <w:t xml:space="preserve">WTE </w:t>
      </w:r>
      <w:r>
        <w:t>for PCNs &gt;100k pop</w:t>
      </w:r>
      <w:r w:rsidR="00633407">
        <w:t>ulation</w:t>
      </w:r>
      <w:r>
        <w:t xml:space="preserve">. </w:t>
      </w:r>
      <w:r w:rsidR="009F55E0">
        <w:t>This entitlement will increase to 2 / 4 WTE in 20</w:t>
      </w:r>
      <w:r w:rsidR="006743E5">
        <w:t xml:space="preserve">22/23 and 3 / 6 WTE by 2023/24. </w:t>
      </w:r>
      <w:r>
        <w:t>This allows time for the scheme to bed in and to build up the workforce supply</w:t>
      </w:r>
      <w:r w:rsidR="006743E5">
        <w:t xml:space="preserve"> and an</w:t>
      </w:r>
      <w:r w:rsidR="00A26949">
        <w:t xml:space="preserve"> assessment of</w:t>
      </w:r>
      <w:r w:rsidR="006743E5">
        <w:t xml:space="preserve"> the impact of the scheme on the wider</w:t>
      </w:r>
      <w:r w:rsidR="00A26949">
        <w:t xml:space="preserve"> </w:t>
      </w:r>
      <w:r w:rsidR="006743E5">
        <w:t xml:space="preserve">transformation of </w:t>
      </w:r>
      <w:r w:rsidR="006743E5" w:rsidRPr="006743E5">
        <w:t>primary and community mental health care</w:t>
      </w:r>
      <w:r w:rsidR="006743E5">
        <w:t>.</w:t>
      </w:r>
      <w:r w:rsidR="006743E5" w:rsidRPr="006743E5">
        <w:t xml:space="preserve"> </w:t>
      </w:r>
    </w:p>
    <w:p w14:paraId="4833EF5E" w14:textId="3B54EE2C" w:rsidR="001B16B4" w:rsidRDefault="001B16B4" w:rsidP="00E42F2B">
      <w:pPr>
        <w:jc w:val="both"/>
        <w:rPr>
          <w:b/>
        </w:rPr>
      </w:pPr>
      <w:r>
        <w:rPr>
          <w:b/>
        </w:rPr>
        <w:t xml:space="preserve">Why don’t you just pay the community </w:t>
      </w:r>
      <w:r w:rsidR="00A915CB">
        <w:rPr>
          <w:b/>
        </w:rPr>
        <w:t>mental health</w:t>
      </w:r>
      <w:r>
        <w:rPr>
          <w:b/>
        </w:rPr>
        <w:t xml:space="preserve"> provider directly, rather than us claiming via the ARRS and having to pay the Trust?</w:t>
      </w:r>
    </w:p>
    <w:p w14:paraId="30884D0B" w14:textId="6D05B798" w:rsidR="00EE0C0C" w:rsidRPr="006B051C" w:rsidRDefault="004F6A34" w:rsidP="00E42F2B">
      <w:pPr>
        <w:jc w:val="both"/>
        <w:rPr>
          <w:rFonts w:eastAsia="Times New Roman" w:cstheme="minorHAnsi"/>
          <w:sz w:val="21"/>
          <w:szCs w:val="21"/>
          <w:lang w:eastAsia="en-GB"/>
        </w:rPr>
      </w:pPr>
      <w:r w:rsidRPr="004F6A34">
        <w:t xml:space="preserve">It is important the PCN </w:t>
      </w:r>
      <w:r>
        <w:t>retains control of its full ARRS budget and decides the roles that it needs to recruit in the light of its own population health needs. The PCN can agree payment terms with the mental health provider and payment processes can be automated to reduce the administrative burden.</w:t>
      </w:r>
    </w:p>
    <w:p w14:paraId="78006893" w14:textId="5634270E" w:rsidR="00EE0C0C" w:rsidRPr="00690D17" w:rsidRDefault="00EE0C0C" w:rsidP="00E42F2B">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Is there a timing mechanism in place for this or will that be down to</w:t>
      </w:r>
      <w:r w:rsidR="004B783F" w:rsidRPr="00690D17">
        <w:rPr>
          <w:rFonts w:eastAsia="Times New Roman" w:cstheme="minorHAnsi"/>
          <w:b/>
          <w:bCs/>
          <w:lang w:eastAsia="en-GB"/>
        </w:rPr>
        <w:t xml:space="preserve"> PCNs /</w:t>
      </w:r>
      <w:r w:rsidRPr="00690D17">
        <w:rPr>
          <w:rFonts w:eastAsia="Times New Roman" w:cstheme="minorHAnsi"/>
          <w:b/>
          <w:bCs/>
          <w:lang w:eastAsia="en-GB"/>
        </w:rPr>
        <w:t xml:space="preserve"> local CCGs / ICSs to determine? </w:t>
      </w:r>
    </w:p>
    <w:p w14:paraId="42B8B77A" w14:textId="77777777" w:rsidR="00EE0C0C" w:rsidRPr="00690D17" w:rsidRDefault="00EE0C0C" w:rsidP="00E42F2B">
      <w:pPr>
        <w:spacing w:after="0" w:line="240" w:lineRule="auto"/>
        <w:jc w:val="both"/>
        <w:rPr>
          <w:rFonts w:eastAsia="Times New Roman" w:cstheme="minorHAnsi"/>
          <w:lang w:eastAsia="en-GB"/>
        </w:rPr>
      </w:pPr>
    </w:p>
    <w:p w14:paraId="4363A8B3" w14:textId="54780A6E" w:rsidR="00EE0C0C" w:rsidRPr="00690D17" w:rsidRDefault="004B783F" w:rsidP="00E42F2B">
      <w:pPr>
        <w:spacing w:after="0" w:line="240" w:lineRule="auto"/>
        <w:jc w:val="both"/>
        <w:rPr>
          <w:rFonts w:eastAsia="Times New Roman" w:cstheme="minorHAnsi"/>
          <w:lang w:eastAsia="en-GB"/>
        </w:rPr>
      </w:pPr>
      <w:r w:rsidRPr="00690D17">
        <w:rPr>
          <w:rFonts w:eastAsia="Times New Roman" w:cstheme="minorHAnsi"/>
          <w:lang w:eastAsia="en-GB"/>
        </w:rPr>
        <w:t>PCNs become contractually entitled to</w:t>
      </w:r>
      <w:r w:rsidR="00F21493" w:rsidRPr="00690D17">
        <w:rPr>
          <w:rFonts w:eastAsia="Times New Roman" w:cstheme="minorHAnsi"/>
          <w:lang w:eastAsia="en-GB"/>
        </w:rPr>
        <w:t xml:space="preserve"> take up</w:t>
      </w:r>
      <w:r w:rsidRPr="00690D17">
        <w:rPr>
          <w:rFonts w:eastAsia="Times New Roman" w:cstheme="minorHAnsi"/>
          <w:lang w:eastAsia="en-GB"/>
        </w:rPr>
        <w:t xml:space="preserve"> these roles from 1 April. </w:t>
      </w:r>
      <w:r w:rsidR="00B63E39" w:rsidRPr="00690D17">
        <w:rPr>
          <w:rFonts w:eastAsia="Times New Roman" w:cstheme="minorHAnsi"/>
          <w:lang w:eastAsia="en-GB"/>
        </w:rPr>
        <w:t xml:space="preserve">However, PCNs, CCGs and mental health providers </w:t>
      </w:r>
      <w:proofErr w:type="gramStart"/>
      <w:r w:rsidR="00B63E39" w:rsidRPr="00690D17">
        <w:rPr>
          <w:rFonts w:eastAsia="Times New Roman" w:cstheme="minorHAnsi"/>
          <w:lang w:eastAsia="en-GB"/>
        </w:rPr>
        <w:t>are able to</w:t>
      </w:r>
      <w:proofErr w:type="gramEnd"/>
      <w:r w:rsidR="00B63E39" w:rsidRPr="00690D17">
        <w:rPr>
          <w:rFonts w:eastAsia="Times New Roman" w:cstheme="minorHAnsi"/>
          <w:lang w:eastAsia="en-GB"/>
        </w:rPr>
        <w:t xml:space="preserve"> agree a later start date </w:t>
      </w:r>
      <w:r w:rsidR="00F21493" w:rsidRPr="00690D17">
        <w:rPr>
          <w:rFonts w:eastAsia="Times New Roman" w:cstheme="minorHAnsi"/>
          <w:lang w:eastAsia="en-GB"/>
        </w:rPr>
        <w:t xml:space="preserve">taking into account practical considerations and the wider </w:t>
      </w:r>
      <w:proofErr w:type="spellStart"/>
      <w:r w:rsidR="00F21493" w:rsidRPr="00690D17">
        <w:rPr>
          <w:rFonts w:eastAsia="Times New Roman" w:cstheme="minorHAnsi"/>
          <w:lang w:eastAsia="en-GB"/>
        </w:rPr>
        <w:t>Covid</w:t>
      </w:r>
      <w:proofErr w:type="spellEnd"/>
      <w:r w:rsidR="00F21493" w:rsidRPr="00690D17">
        <w:rPr>
          <w:rFonts w:eastAsia="Times New Roman" w:cstheme="minorHAnsi"/>
          <w:lang w:eastAsia="en-GB"/>
        </w:rPr>
        <w:t xml:space="preserve"> context.</w:t>
      </w:r>
    </w:p>
    <w:p w14:paraId="57D292B0" w14:textId="77777777" w:rsidR="004B783F" w:rsidRPr="00690D17" w:rsidRDefault="004B783F" w:rsidP="00E42F2B">
      <w:pPr>
        <w:spacing w:after="0" w:line="240" w:lineRule="auto"/>
        <w:jc w:val="both"/>
        <w:rPr>
          <w:rFonts w:eastAsia="Times New Roman" w:cstheme="minorHAnsi"/>
          <w:lang w:eastAsia="en-GB"/>
        </w:rPr>
      </w:pPr>
    </w:p>
    <w:p w14:paraId="2F04EA3B" w14:textId="55829426" w:rsidR="00EE0C0C" w:rsidRPr="00690D17" w:rsidRDefault="00EE0C0C" w:rsidP="00E42F2B">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 xml:space="preserve">Do </w:t>
      </w:r>
      <w:r w:rsidR="00F21493" w:rsidRPr="00690D17">
        <w:rPr>
          <w:rFonts w:eastAsia="Times New Roman" w:cstheme="minorHAnsi"/>
          <w:b/>
          <w:bCs/>
          <w:lang w:eastAsia="en-GB"/>
        </w:rPr>
        <w:t>mental health providers</w:t>
      </w:r>
      <w:r w:rsidRPr="00690D17">
        <w:rPr>
          <w:rFonts w:eastAsia="Times New Roman" w:cstheme="minorHAnsi"/>
          <w:b/>
          <w:bCs/>
          <w:lang w:eastAsia="en-GB"/>
        </w:rPr>
        <w:t xml:space="preserve"> need </w:t>
      </w:r>
      <w:r w:rsidR="00690D17">
        <w:rPr>
          <w:rFonts w:eastAsia="Times New Roman" w:cstheme="minorHAnsi"/>
          <w:b/>
          <w:bCs/>
          <w:lang w:eastAsia="en-GB"/>
        </w:rPr>
        <w:t xml:space="preserve">to </w:t>
      </w:r>
      <w:r w:rsidRPr="00690D17">
        <w:rPr>
          <w:rFonts w:eastAsia="Times New Roman" w:cstheme="minorHAnsi"/>
          <w:b/>
          <w:bCs/>
          <w:lang w:eastAsia="en-GB"/>
        </w:rPr>
        <w:t xml:space="preserve">start with PCNs that previously indicated that they wanted to appoint to PCN MH roles in prior submissions? Recognising that all may review that </w:t>
      </w:r>
      <w:proofErr w:type="gramStart"/>
      <w:r w:rsidRPr="00690D17">
        <w:rPr>
          <w:rFonts w:eastAsia="Times New Roman" w:cstheme="minorHAnsi"/>
          <w:b/>
          <w:bCs/>
          <w:lang w:eastAsia="en-GB"/>
        </w:rPr>
        <w:t>in light of</w:t>
      </w:r>
      <w:proofErr w:type="gramEnd"/>
      <w:r w:rsidRPr="00690D17">
        <w:rPr>
          <w:rFonts w:eastAsia="Times New Roman" w:cstheme="minorHAnsi"/>
          <w:b/>
          <w:bCs/>
          <w:lang w:eastAsia="en-GB"/>
        </w:rPr>
        <w:t xml:space="preserve"> this new guidance</w:t>
      </w:r>
    </w:p>
    <w:p w14:paraId="316EA6E5" w14:textId="17A08B47" w:rsidR="00F21493" w:rsidRPr="00690D17" w:rsidRDefault="00F21493" w:rsidP="00E42F2B">
      <w:pPr>
        <w:spacing w:after="0" w:line="240" w:lineRule="auto"/>
        <w:jc w:val="both"/>
        <w:rPr>
          <w:rFonts w:eastAsia="Times New Roman" w:cstheme="minorHAnsi"/>
          <w:lang w:eastAsia="en-GB"/>
        </w:rPr>
      </w:pPr>
    </w:p>
    <w:p w14:paraId="050BE316" w14:textId="68A83BE9" w:rsidR="00F21493" w:rsidRPr="00690D17" w:rsidRDefault="005065A6" w:rsidP="00E42F2B">
      <w:pPr>
        <w:spacing w:after="0" w:line="240" w:lineRule="auto"/>
        <w:jc w:val="both"/>
        <w:rPr>
          <w:rFonts w:eastAsia="Times New Roman" w:cstheme="minorHAnsi"/>
          <w:lang w:eastAsia="en-GB"/>
        </w:rPr>
      </w:pPr>
      <w:r w:rsidRPr="00690D17">
        <w:rPr>
          <w:rFonts w:eastAsia="Times New Roman" w:cstheme="minorHAnsi"/>
          <w:lang w:eastAsia="en-GB"/>
        </w:rPr>
        <w:t>This is likely to be a sensible approach,</w:t>
      </w:r>
      <w:r w:rsidR="00B64783" w:rsidRPr="00690D17">
        <w:rPr>
          <w:rFonts w:eastAsia="Times New Roman" w:cstheme="minorHAnsi"/>
          <w:lang w:eastAsia="en-GB"/>
        </w:rPr>
        <w:t xml:space="preserve"> </w:t>
      </w:r>
      <w:r w:rsidR="00690D17">
        <w:rPr>
          <w:rFonts w:eastAsia="Times New Roman" w:cstheme="minorHAnsi"/>
          <w:lang w:eastAsia="en-GB"/>
        </w:rPr>
        <w:t>al</w:t>
      </w:r>
      <w:r w:rsidR="00B64783" w:rsidRPr="00690D17">
        <w:rPr>
          <w:rFonts w:eastAsia="Times New Roman" w:cstheme="minorHAnsi"/>
          <w:lang w:eastAsia="en-GB"/>
        </w:rPr>
        <w:t>though providers are reminded that all PCNs may choose to take up their entitlement</w:t>
      </w:r>
      <w:r w:rsidR="00690D17">
        <w:rPr>
          <w:rFonts w:eastAsia="Times New Roman" w:cstheme="minorHAnsi"/>
          <w:lang w:eastAsia="en-GB"/>
        </w:rPr>
        <w:t xml:space="preserve"> and so they should plan to engage with all PCNs</w:t>
      </w:r>
      <w:r w:rsidR="00B64783" w:rsidRPr="00690D17">
        <w:rPr>
          <w:rFonts w:eastAsia="Times New Roman" w:cstheme="minorHAnsi"/>
          <w:lang w:eastAsia="en-GB"/>
        </w:rPr>
        <w:t>.</w:t>
      </w:r>
    </w:p>
    <w:p w14:paraId="68D4755A" w14:textId="77777777" w:rsidR="00F21493" w:rsidRPr="00690D17" w:rsidRDefault="00F21493" w:rsidP="00E42F2B">
      <w:pPr>
        <w:spacing w:after="0" w:line="240" w:lineRule="auto"/>
        <w:jc w:val="both"/>
        <w:rPr>
          <w:rFonts w:eastAsia="Times New Roman" w:cstheme="minorHAnsi"/>
          <w:lang w:eastAsia="en-GB"/>
        </w:rPr>
      </w:pPr>
    </w:p>
    <w:p w14:paraId="3060CF8E" w14:textId="552B5FDC" w:rsidR="00EE0C0C" w:rsidRPr="00690D17" w:rsidRDefault="00EE0C0C" w:rsidP="00E42F2B">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If the role is to triage how does this align with the MH hubs created in the CMH transformation?</w:t>
      </w:r>
    </w:p>
    <w:p w14:paraId="7C095309" w14:textId="0CC3717D" w:rsidR="00B64783" w:rsidRPr="00690D17" w:rsidRDefault="00B64783" w:rsidP="00E42F2B">
      <w:pPr>
        <w:spacing w:after="0" w:line="240" w:lineRule="auto"/>
        <w:contextualSpacing/>
        <w:jc w:val="both"/>
        <w:rPr>
          <w:rFonts w:eastAsia="Times New Roman" w:cstheme="minorHAnsi"/>
          <w:b/>
          <w:bCs/>
          <w:lang w:eastAsia="en-GB"/>
        </w:rPr>
      </w:pPr>
    </w:p>
    <w:p w14:paraId="40E58D92" w14:textId="7E47EF3A" w:rsidR="00B64783" w:rsidRPr="00690D17" w:rsidRDefault="00F47CF0" w:rsidP="00E42F2B">
      <w:pPr>
        <w:spacing w:after="0" w:line="240" w:lineRule="auto"/>
        <w:contextualSpacing/>
        <w:jc w:val="both"/>
        <w:rPr>
          <w:rFonts w:eastAsia="Times New Roman" w:cstheme="minorHAnsi"/>
          <w:lang w:eastAsia="en-GB"/>
        </w:rPr>
      </w:pPr>
      <w:r w:rsidRPr="00690D17">
        <w:rPr>
          <w:rFonts w:eastAsia="Times New Roman" w:cstheme="minorHAnsi"/>
          <w:lang w:eastAsia="en-GB"/>
        </w:rPr>
        <w:t xml:space="preserve">The role parameters are relatively flexible, so providers and PCNs should discuss the arrangements that are likely to work best for </w:t>
      </w:r>
      <w:r w:rsidR="00DE6F6E" w:rsidRPr="00690D17">
        <w:rPr>
          <w:rFonts w:eastAsia="Times New Roman" w:cstheme="minorHAnsi"/>
          <w:lang w:eastAsia="en-GB"/>
        </w:rPr>
        <w:t xml:space="preserve">local </w:t>
      </w:r>
      <w:r w:rsidRPr="00690D17">
        <w:rPr>
          <w:rFonts w:eastAsia="Times New Roman" w:cstheme="minorHAnsi"/>
          <w:lang w:eastAsia="en-GB"/>
        </w:rPr>
        <w:t>patients.</w:t>
      </w:r>
    </w:p>
    <w:p w14:paraId="15DEED65" w14:textId="77777777" w:rsidR="00F47CF0" w:rsidRPr="00690D17" w:rsidRDefault="00F47CF0" w:rsidP="00E42F2B">
      <w:pPr>
        <w:spacing w:after="0" w:line="240" w:lineRule="auto"/>
        <w:contextualSpacing/>
        <w:jc w:val="both"/>
        <w:rPr>
          <w:rFonts w:eastAsia="Times New Roman" w:cstheme="minorHAnsi"/>
          <w:lang w:eastAsia="en-GB"/>
        </w:rPr>
      </w:pPr>
    </w:p>
    <w:p w14:paraId="1E6E7014" w14:textId="77777777" w:rsidR="00EE0C0C" w:rsidRPr="00690D17" w:rsidRDefault="00EE0C0C" w:rsidP="00E42F2B">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Is the role linked exclusively to SMI or is there flexibility on the focus?</w:t>
      </w:r>
    </w:p>
    <w:p w14:paraId="0B7BE03D" w14:textId="2A562B46" w:rsidR="00884F8C" w:rsidRPr="00690D17" w:rsidRDefault="00884F8C" w:rsidP="00E42F2B">
      <w:pPr>
        <w:spacing w:after="0" w:line="240" w:lineRule="auto"/>
        <w:contextualSpacing/>
        <w:jc w:val="both"/>
        <w:rPr>
          <w:rFonts w:eastAsia="Times New Roman" w:cstheme="minorHAnsi"/>
          <w:lang w:eastAsia="en-GB"/>
        </w:rPr>
      </w:pPr>
    </w:p>
    <w:p w14:paraId="40A1B8E9" w14:textId="77777777" w:rsidR="00F90906" w:rsidRDefault="00690D17" w:rsidP="00E42F2B">
      <w:pPr>
        <w:spacing w:after="0" w:line="240" w:lineRule="auto"/>
        <w:contextualSpacing/>
        <w:jc w:val="both"/>
        <w:rPr>
          <w:rFonts w:eastAsia="Times New Roman" w:cstheme="minorHAnsi"/>
          <w:lang w:eastAsia="en-GB"/>
        </w:rPr>
      </w:pPr>
      <w:r>
        <w:rPr>
          <w:rFonts w:eastAsia="Times New Roman" w:cstheme="minorHAnsi"/>
          <w:lang w:eastAsia="en-GB"/>
        </w:rPr>
        <w:t>T</w:t>
      </w:r>
      <w:r w:rsidR="00FB2551" w:rsidRPr="00690D17">
        <w:rPr>
          <w:rFonts w:eastAsia="Times New Roman" w:cstheme="minorHAnsi"/>
          <w:lang w:eastAsia="en-GB"/>
        </w:rPr>
        <w:t xml:space="preserve">here is flexibility on the focus </w:t>
      </w:r>
      <w:r>
        <w:rPr>
          <w:rFonts w:eastAsia="Times New Roman" w:cstheme="minorHAnsi"/>
          <w:lang w:eastAsia="en-GB"/>
        </w:rPr>
        <w:t xml:space="preserve">of the role </w:t>
      </w:r>
      <w:r w:rsidR="00641BC7" w:rsidRPr="00690D17">
        <w:rPr>
          <w:rFonts w:eastAsia="Times New Roman" w:cstheme="minorHAnsi"/>
          <w:lang w:eastAsia="en-GB"/>
        </w:rPr>
        <w:t>within</w:t>
      </w:r>
      <w:r w:rsidR="00FB2551" w:rsidRPr="00690D17">
        <w:rPr>
          <w:rFonts w:eastAsia="Times New Roman" w:cstheme="minorHAnsi"/>
          <w:lang w:eastAsia="en-GB"/>
        </w:rPr>
        <w:t xml:space="preserve"> the parameters </w:t>
      </w:r>
      <w:r w:rsidR="00641BC7" w:rsidRPr="00690D17">
        <w:rPr>
          <w:rFonts w:eastAsia="Times New Roman" w:cstheme="minorHAnsi"/>
          <w:lang w:eastAsia="en-GB"/>
        </w:rPr>
        <w:t xml:space="preserve">already </w:t>
      </w:r>
      <w:r w:rsidR="00FB2551" w:rsidRPr="00690D17">
        <w:rPr>
          <w:rFonts w:eastAsia="Times New Roman" w:cstheme="minorHAnsi"/>
          <w:lang w:eastAsia="en-GB"/>
        </w:rPr>
        <w:t>set out</w:t>
      </w:r>
      <w:r w:rsidR="00641BC7" w:rsidRPr="00690D17">
        <w:rPr>
          <w:rFonts w:eastAsia="Times New Roman" w:cstheme="minorHAnsi"/>
          <w:lang w:eastAsia="en-GB"/>
        </w:rPr>
        <w:t>. PCNs and providers will need to agree the focus in the context of transformation happening across the local ICS</w:t>
      </w:r>
      <w:r>
        <w:rPr>
          <w:rFonts w:eastAsia="Times New Roman" w:cstheme="minorHAnsi"/>
          <w:lang w:eastAsia="en-GB"/>
        </w:rPr>
        <w:t xml:space="preserve"> and delivery of </w:t>
      </w:r>
      <w:r w:rsidRPr="00690D17">
        <w:rPr>
          <w:rFonts w:eastAsia="Times New Roman" w:cstheme="minorHAnsi"/>
          <w:lang w:eastAsia="en-GB"/>
        </w:rPr>
        <w:t>the</w:t>
      </w:r>
      <w:r>
        <w:rPr>
          <w:rFonts w:eastAsia="Times New Roman" w:cstheme="minorHAnsi"/>
          <w:lang w:eastAsia="en-GB"/>
        </w:rPr>
        <w:t xml:space="preserve"> </w:t>
      </w:r>
      <w:hyperlink r:id="rId13" w:history="1">
        <w:r w:rsidRPr="00690D17">
          <w:rPr>
            <w:rStyle w:val="Hyperlink"/>
            <w:rFonts w:eastAsia="Times New Roman" w:cstheme="minorHAnsi"/>
            <w:lang w:eastAsia="en-GB"/>
          </w:rPr>
          <w:t xml:space="preserve"> Community Mental Health Framework</w:t>
        </w:r>
      </w:hyperlink>
      <w:r>
        <w:rPr>
          <w:rFonts w:eastAsia="Times New Roman" w:cstheme="minorHAnsi"/>
          <w:lang w:eastAsia="en-GB"/>
        </w:rPr>
        <w:t xml:space="preserve"> </w:t>
      </w:r>
      <w:r w:rsidR="00641BC7" w:rsidRPr="00690D17">
        <w:rPr>
          <w:rFonts w:eastAsia="Times New Roman" w:cstheme="minorHAnsi"/>
          <w:lang w:eastAsia="en-GB"/>
        </w:rPr>
        <w:t>.</w:t>
      </w:r>
      <w:r w:rsidR="00EE35B8" w:rsidRPr="00690D17">
        <w:rPr>
          <w:rFonts w:eastAsia="Times New Roman" w:cstheme="minorHAnsi"/>
          <w:lang w:eastAsia="en-GB"/>
        </w:rPr>
        <w:t xml:space="preserve"> We would remind local partners that one of the key benefits of the role is its ability to draw on the wider PCN </w:t>
      </w:r>
      <w:r>
        <w:rPr>
          <w:rFonts w:eastAsia="Times New Roman" w:cstheme="minorHAnsi"/>
          <w:lang w:eastAsia="en-GB"/>
        </w:rPr>
        <w:t xml:space="preserve">and MH </w:t>
      </w:r>
      <w:r w:rsidR="00EE35B8" w:rsidRPr="00690D17">
        <w:rPr>
          <w:rFonts w:eastAsia="Times New Roman" w:cstheme="minorHAnsi"/>
          <w:lang w:eastAsia="en-GB"/>
        </w:rPr>
        <w:t>MDT</w:t>
      </w:r>
      <w:r>
        <w:rPr>
          <w:rFonts w:eastAsia="Times New Roman" w:cstheme="minorHAnsi"/>
          <w:lang w:eastAsia="en-GB"/>
        </w:rPr>
        <w:t xml:space="preserve"> to help address people’s </w:t>
      </w:r>
      <w:r w:rsidR="00A91F4B" w:rsidRPr="00690D17">
        <w:rPr>
          <w:rFonts w:eastAsia="Times New Roman" w:cstheme="minorHAnsi"/>
          <w:lang w:eastAsia="en-GB"/>
        </w:rPr>
        <w:t>needs.</w:t>
      </w:r>
    </w:p>
    <w:p w14:paraId="4F69E867" w14:textId="368FAB0C" w:rsidR="00EE0C0C" w:rsidRPr="00F90906" w:rsidRDefault="00EE0C0C" w:rsidP="00E42F2B">
      <w:pPr>
        <w:spacing w:after="0" w:line="240" w:lineRule="auto"/>
        <w:contextualSpacing/>
        <w:jc w:val="both"/>
        <w:rPr>
          <w:rFonts w:eastAsia="Times New Roman" w:cstheme="minorHAnsi"/>
          <w:lang w:eastAsia="en-GB"/>
        </w:rPr>
      </w:pPr>
      <w:r w:rsidRPr="00690D17">
        <w:rPr>
          <w:rFonts w:eastAsia="Times New Roman" w:cstheme="minorHAnsi"/>
          <w:b/>
          <w:bCs/>
          <w:lang w:eastAsia="en-GB"/>
        </w:rPr>
        <w:lastRenderedPageBreak/>
        <w:t>Other areas that have been raised are about who is the employer? This ARRS role is different model to previous ones. I.e. so, would PCN and MH provider together be the co-employer? Can PCN "choose" their MH worker from the MH provider? If it doesn't work and PCN withdraw funding, who holds the risk?</w:t>
      </w:r>
    </w:p>
    <w:p w14:paraId="1C9A5297" w14:textId="675F217A" w:rsidR="0001554F" w:rsidRPr="00690D17" w:rsidRDefault="0001554F" w:rsidP="00E42F2B">
      <w:pPr>
        <w:spacing w:after="0" w:line="240" w:lineRule="auto"/>
        <w:contextualSpacing/>
        <w:jc w:val="both"/>
        <w:rPr>
          <w:rFonts w:eastAsia="Times New Roman" w:cstheme="minorHAnsi"/>
          <w:lang w:eastAsia="en-GB"/>
        </w:rPr>
      </w:pPr>
    </w:p>
    <w:p w14:paraId="47942F1E" w14:textId="2541FB36" w:rsidR="0001554F" w:rsidRDefault="002B0842" w:rsidP="00E42F2B">
      <w:pPr>
        <w:spacing w:after="0" w:line="240" w:lineRule="auto"/>
        <w:contextualSpacing/>
        <w:jc w:val="both"/>
        <w:rPr>
          <w:rFonts w:eastAsia="Times New Roman" w:cstheme="minorHAnsi"/>
          <w:lang w:eastAsia="en-GB"/>
        </w:rPr>
      </w:pPr>
      <w:r w:rsidRPr="00690D17">
        <w:rPr>
          <w:rFonts w:eastAsia="Times New Roman" w:cstheme="minorHAnsi"/>
          <w:lang w:eastAsia="en-GB"/>
        </w:rPr>
        <w:t>The secondary care provider of community mental health services will be the employer of the mental health practitioner role. PCNs and providers will need to agree on the role</w:t>
      </w:r>
      <w:r w:rsidR="001C284A">
        <w:rPr>
          <w:rFonts w:eastAsia="Times New Roman" w:cstheme="minorHAnsi"/>
          <w:lang w:eastAsia="en-GB"/>
        </w:rPr>
        <w:t xml:space="preserve"> and job description</w:t>
      </w:r>
      <w:r w:rsidR="00690D17">
        <w:rPr>
          <w:rFonts w:eastAsia="Times New Roman" w:cstheme="minorHAnsi"/>
          <w:lang w:eastAsia="en-GB"/>
        </w:rPr>
        <w:t xml:space="preserve"> and PCNs should be involved in the recruitment or selection of their mental health practitioner. </w:t>
      </w:r>
      <w:r w:rsidR="001C284A">
        <w:rPr>
          <w:rFonts w:eastAsia="Times New Roman" w:cstheme="minorHAnsi"/>
          <w:lang w:eastAsia="en-GB"/>
        </w:rPr>
        <w:t>There should be an agreement between PCNs and the mental health provider that captures how the role will operate. NHSEI have developed a template agreement which may be helpful</w:t>
      </w:r>
      <w:r w:rsidR="00345AE1">
        <w:rPr>
          <w:rFonts w:eastAsia="Times New Roman" w:cstheme="minorHAnsi"/>
          <w:lang w:eastAsia="en-GB"/>
        </w:rPr>
        <w:t xml:space="preserve"> and can be accessed here within guidance on </w:t>
      </w:r>
      <w:hyperlink r:id="rId14" w:history="1">
        <w:r w:rsidR="00345AE1" w:rsidRPr="00345AE1">
          <w:rPr>
            <w:rStyle w:val="Hyperlink"/>
            <w:rFonts w:eastAsia="Times New Roman" w:cstheme="minorHAnsi"/>
            <w:lang w:eastAsia="en-GB"/>
          </w:rPr>
          <w:t>innovative employment models</w:t>
        </w:r>
      </w:hyperlink>
      <w:r w:rsidR="00345AE1">
        <w:rPr>
          <w:rFonts w:eastAsia="Times New Roman" w:cstheme="minorHAnsi"/>
          <w:lang w:eastAsia="en-GB"/>
        </w:rPr>
        <w:t xml:space="preserve">. </w:t>
      </w:r>
    </w:p>
    <w:p w14:paraId="5E244BE7" w14:textId="525FE789" w:rsidR="001C284A" w:rsidRPr="00690D17" w:rsidRDefault="001C284A" w:rsidP="00E42F2B">
      <w:pPr>
        <w:spacing w:after="0" w:line="240" w:lineRule="auto"/>
        <w:contextualSpacing/>
        <w:jc w:val="both"/>
        <w:rPr>
          <w:rFonts w:eastAsia="Times New Roman" w:cstheme="minorHAnsi"/>
          <w:lang w:eastAsia="en-GB"/>
        </w:rPr>
      </w:pPr>
    </w:p>
    <w:p w14:paraId="314F63C7" w14:textId="77777777" w:rsidR="0001554F" w:rsidRPr="00690D17" w:rsidRDefault="0001554F" w:rsidP="00E42F2B">
      <w:pPr>
        <w:spacing w:after="0" w:line="240" w:lineRule="auto"/>
        <w:contextualSpacing/>
        <w:jc w:val="both"/>
        <w:rPr>
          <w:rFonts w:eastAsia="Times New Roman" w:cstheme="minorHAnsi"/>
          <w:lang w:eastAsia="en-GB"/>
        </w:rPr>
      </w:pPr>
    </w:p>
    <w:p w14:paraId="79A137BE" w14:textId="53FFAC69" w:rsidR="00EE0C0C" w:rsidRPr="00690D17" w:rsidRDefault="00EE0C0C" w:rsidP="00E42F2B">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 xml:space="preserve">Isn't there a high level of potential for unwarranted variation if this is a choice for primary care? </w:t>
      </w:r>
    </w:p>
    <w:p w14:paraId="38E46371" w14:textId="7BD80D79" w:rsidR="00EE0C0C" w:rsidRPr="00690D17" w:rsidRDefault="00EE0C0C" w:rsidP="00E42F2B">
      <w:pPr>
        <w:spacing w:after="0" w:line="240" w:lineRule="auto"/>
        <w:jc w:val="both"/>
        <w:rPr>
          <w:rFonts w:eastAsia="Times New Roman" w:cstheme="minorHAnsi"/>
          <w:lang w:eastAsia="en-GB"/>
        </w:rPr>
      </w:pPr>
    </w:p>
    <w:p w14:paraId="6A3DF1FE" w14:textId="6EA29444" w:rsidR="005378F7" w:rsidRPr="00690D17" w:rsidRDefault="001C284A" w:rsidP="00E42F2B">
      <w:pPr>
        <w:spacing w:after="0" w:line="240" w:lineRule="auto"/>
        <w:jc w:val="both"/>
        <w:rPr>
          <w:rFonts w:eastAsia="Times New Roman" w:cstheme="minorHAnsi"/>
          <w:lang w:eastAsia="en-GB"/>
        </w:rPr>
      </w:pPr>
      <w:r>
        <w:rPr>
          <w:rFonts w:eastAsia="Times New Roman" w:cstheme="minorHAnsi"/>
          <w:lang w:eastAsia="en-GB"/>
        </w:rPr>
        <w:t xml:space="preserve">PCNs have a through and detailed understanding of the needs of their population and this is likely to vary across the footprint of an ICS or provider Trust so different PCNs are likely to require different roles to meet their </w:t>
      </w:r>
      <w:proofErr w:type="gramStart"/>
      <w:r>
        <w:rPr>
          <w:rFonts w:eastAsia="Times New Roman" w:cstheme="minorHAnsi"/>
          <w:lang w:eastAsia="en-GB"/>
        </w:rPr>
        <w:t>particular population</w:t>
      </w:r>
      <w:proofErr w:type="gramEnd"/>
      <w:r>
        <w:rPr>
          <w:rFonts w:eastAsia="Times New Roman" w:cstheme="minorHAnsi"/>
          <w:lang w:eastAsia="en-GB"/>
        </w:rPr>
        <w:t xml:space="preserve"> needs. As with the other ARRS roles</w:t>
      </w:r>
      <w:r w:rsidR="00DA2AEC" w:rsidRPr="00690D17">
        <w:rPr>
          <w:rFonts w:eastAsia="Times New Roman" w:cstheme="minorHAnsi"/>
          <w:lang w:eastAsia="en-GB"/>
        </w:rPr>
        <w:t xml:space="preserve"> </w:t>
      </w:r>
      <w:r w:rsidR="00CD2FF1" w:rsidRPr="00690D17">
        <w:rPr>
          <w:rFonts w:eastAsia="Times New Roman" w:cstheme="minorHAnsi"/>
          <w:lang w:eastAsia="en-GB"/>
        </w:rPr>
        <w:t xml:space="preserve">PCNs </w:t>
      </w:r>
      <w:proofErr w:type="gramStart"/>
      <w:r w:rsidR="00CD2FF1" w:rsidRPr="00690D17">
        <w:rPr>
          <w:rFonts w:eastAsia="Times New Roman" w:cstheme="minorHAnsi"/>
          <w:lang w:eastAsia="en-GB"/>
        </w:rPr>
        <w:t>are able to</w:t>
      </w:r>
      <w:proofErr w:type="gramEnd"/>
      <w:r w:rsidR="00CD2FF1" w:rsidRPr="00690D17">
        <w:rPr>
          <w:rFonts w:eastAsia="Times New Roman" w:cstheme="minorHAnsi"/>
          <w:lang w:eastAsia="en-GB"/>
        </w:rPr>
        <w:t xml:space="preserve"> choose which roles </w:t>
      </w:r>
      <w:r>
        <w:rPr>
          <w:rFonts w:eastAsia="Times New Roman" w:cstheme="minorHAnsi"/>
          <w:lang w:eastAsia="en-GB"/>
        </w:rPr>
        <w:t>they recruit to and whether</w:t>
      </w:r>
      <w:r w:rsidR="00DA2AEC" w:rsidRPr="00690D17">
        <w:rPr>
          <w:rFonts w:eastAsia="Times New Roman" w:cstheme="minorHAnsi"/>
          <w:lang w:eastAsia="en-GB"/>
        </w:rPr>
        <w:t xml:space="preserve"> to take up their entitlement to adult / older adult MH practitioners or not.</w:t>
      </w:r>
      <w:r w:rsidR="00F36AD9" w:rsidRPr="00690D17">
        <w:rPr>
          <w:rFonts w:eastAsia="Times New Roman" w:cstheme="minorHAnsi"/>
          <w:lang w:eastAsia="en-GB"/>
        </w:rPr>
        <w:t xml:space="preserve"> </w:t>
      </w:r>
    </w:p>
    <w:p w14:paraId="026507FC" w14:textId="77777777" w:rsidR="005378F7" w:rsidRPr="00690D17" w:rsidRDefault="005378F7" w:rsidP="00E42F2B">
      <w:pPr>
        <w:spacing w:after="0" w:line="240" w:lineRule="auto"/>
        <w:jc w:val="both"/>
        <w:rPr>
          <w:rFonts w:eastAsia="Times New Roman" w:cstheme="minorHAnsi"/>
          <w:lang w:eastAsia="en-GB"/>
        </w:rPr>
      </w:pPr>
    </w:p>
    <w:p w14:paraId="2A89CBE0" w14:textId="3D193A76" w:rsidR="00CB4BF9" w:rsidRPr="00690D17" w:rsidRDefault="001C284A" w:rsidP="00E42F2B">
      <w:pPr>
        <w:spacing w:after="0" w:line="240" w:lineRule="auto"/>
        <w:jc w:val="both"/>
        <w:rPr>
          <w:rFonts w:eastAsia="Times New Roman" w:cstheme="minorHAnsi"/>
          <w:lang w:eastAsia="en-GB"/>
        </w:rPr>
      </w:pPr>
      <w:r>
        <w:rPr>
          <w:rFonts w:eastAsia="Times New Roman" w:cstheme="minorHAnsi"/>
          <w:lang w:eastAsia="en-GB"/>
        </w:rPr>
        <w:t>To address</w:t>
      </w:r>
      <w:r w:rsidR="00F36AD9" w:rsidRPr="00690D17">
        <w:rPr>
          <w:rFonts w:eastAsia="Times New Roman" w:cstheme="minorHAnsi"/>
          <w:lang w:eastAsia="en-GB"/>
        </w:rPr>
        <w:t xml:space="preserve"> the potential for unwarranted variation, providers can hold discussions with multiple P</w:t>
      </w:r>
      <w:r>
        <w:rPr>
          <w:rFonts w:eastAsia="Times New Roman" w:cstheme="minorHAnsi"/>
          <w:lang w:eastAsia="en-GB"/>
        </w:rPr>
        <w:t>CNs to reach a shared view of the requirement</w:t>
      </w:r>
      <w:r w:rsidR="00F36AD9" w:rsidRPr="00690D17">
        <w:rPr>
          <w:rFonts w:eastAsia="Times New Roman" w:cstheme="minorHAnsi"/>
          <w:lang w:eastAsia="en-GB"/>
        </w:rPr>
        <w:t>. CCGs</w:t>
      </w:r>
      <w:r w:rsidR="00DB43A3" w:rsidRPr="00690D17">
        <w:rPr>
          <w:rFonts w:eastAsia="Times New Roman" w:cstheme="minorHAnsi"/>
          <w:lang w:eastAsia="en-GB"/>
        </w:rPr>
        <w:t xml:space="preserve"> and ICSs</w:t>
      </w:r>
      <w:r w:rsidR="00F36AD9" w:rsidRPr="00690D17">
        <w:rPr>
          <w:rFonts w:eastAsia="Times New Roman" w:cstheme="minorHAnsi"/>
          <w:lang w:eastAsia="en-GB"/>
        </w:rPr>
        <w:t xml:space="preserve"> </w:t>
      </w:r>
      <w:r w:rsidR="00DB43A3" w:rsidRPr="00690D17">
        <w:rPr>
          <w:rFonts w:eastAsia="Times New Roman" w:cstheme="minorHAnsi"/>
          <w:lang w:eastAsia="en-GB"/>
        </w:rPr>
        <w:t>may also</w:t>
      </w:r>
      <w:r>
        <w:rPr>
          <w:rFonts w:eastAsia="Times New Roman" w:cstheme="minorHAnsi"/>
          <w:lang w:eastAsia="en-GB"/>
        </w:rPr>
        <w:t xml:space="preserve"> want to facilitate discussion to</w:t>
      </w:r>
      <w:r w:rsidR="00DB43A3" w:rsidRPr="00690D17">
        <w:rPr>
          <w:rFonts w:eastAsia="Times New Roman" w:cstheme="minorHAnsi"/>
          <w:lang w:eastAsia="en-GB"/>
        </w:rPr>
        <w:t xml:space="preserve"> ensure </w:t>
      </w:r>
      <w:r>
        <w:rPr>
          <w:rFonts w:eastAsia="Times New Roman" w:cstheme="minorHAnsi"/>
          <w:lang w:eastAsia="en-GB"/>
        </w:rPr>
        <w:t xml:space="preserve">a consistent </w:t>
      </w:r>
      <w:r w:rsidR="00F93F2D">
        <w:rPr>
          <w:rFonts w:eastAsia="Times New Roman" w:cstheme="minorHAnsi"/>
          <w:lang w:eastAsia="en-GB"/>
        </w:rPr>
        <w:t>approach to similar needs</w:t>
      </w:r>
      <w:r>
        <w:rPr>
          <w:rFonts w:eastAsia="Times New Roman" w:cstheme="minorHAnsi"/>
          <w:lang w:eastAsia="en-GB"/>
        </w:rPr>
        <w:t xml:space="preserve"> </w:t>
      </w:r>
      <w:r w:rsidR="00B16D28">
        <w:rPr>
          <w:rFonts w:eastAsia="Times New Roman" w:cstheme="minorHAnsi"/>
          <w:lang w:eastAsia="en-GB"/>
        </w:rPr>
        <w:t>in the context of their</w:t>
      </w:r>
      <w:r w:rsidR="005378F7" w:rsidRPr="00690D17">
        <w:rPr>
          <w:rFonts w:eastAsia="Times New Roman" w:cstheme="minorHAnsi"/>
          <w:lang w:eastAsia="en-GB"/>
        </w:rPr>
        <w:t xml:space="preserve"> community mental health transformation plans.</w:t>
      </w:r>
    </w:p>
    <w:p w14:paraId="2CC7C3CA" w14:textId="77777777" w:rsidR="00EE0C0C" w:rsidRPr="00690D17" w:rsidRDefault="00EE0C0C" w:rsidP="00E42F2B">
      <w:pPr>
        <w:spacing w:after="0" w:line="240" w:lineRule="auto"/>
        <w:jc w:val="both"/>
        <w:rPr>
          <w:rFonts w:eastAsia="Times New Roman" w:cstheme="minorHAnsi"/>
          <w:lang w:eastAsia="en-GB"/>
        </w:rPr>
      </w:pPr>
    </w:p>
    <w:p w14:paraId="08F1A239" w14:textId="77777777" w:rsidR="00EE0C0C" w:rsidRPr="00690D17" w:rsidRDefault="00EE0C0C" w:rsidP="00E42F2B">
      <w:pPr>
        <w:spacing w:after="160" w:line="259" w:lineRule="auto"/>
        <w:contextualSpacing/>
        <w:jc w:val="both"/>
        <w:rPr>
          <w:rFonts w:eastAsia="Times New Roman" w:cstheme="minorHAnsi"/>
          <w:b/>
          <w:bCs/>
          <w:lang w:eastAsia="en-GB"/>
        </w:rPr>
      </w:pPr>
      <w:r w:rsidRPr="00690D17">
        <w:rPr>
          <w:rFonts w:eastAsia="Times New Roman" w:cstheme="minorHAnsi"/>
          <w:b/>
          <w:bCs/>
          <w:lang w:eastAsia="en-GB"/>
        </w:rPr>
        <w:t>What if a PCN chooses not to have an MHP?</w:t>
      </w:r>
      <w:r w:rsidRPr="00690D17">
        <w:rPr>
          <w:rFonts w:eastAsia="Times New Roman" w:cstheme="minorHAnsi"/>
          <w:b/>
          <w:bCs/>
          <w:i/>
          <w:iCs/>
          <w:lang w:eastAsia="en-GB"/>
        </w:rPr>
        <w:t xml:space="preserve"> </w:t>
      </w:r>
    </w:p>
    <w:p w14:paraId="38E90D8B" w14:textId="71318FB4" w:rsidR="00EE0C0C" w:rsidRPr="00690D17" w:rsidRDefault="00EE0C0C" w:rsidP="00E42F2B">
      <w:pPr>
        <w:spacing w:after="0" w:line="240" w:lineRule="auto"/>
        <w:jc w:val="both"/>
        <w:rPr>
          <w:rFonts w:eastAsia="Times New Roman" w:cstheme="minorHAnsi"/>
          <w:lang w:eastAsia="en-GB"/>
        </w:rPr>
      </w:pPr>
    </w:p>
    <w:p w14:paraId="1562D884" w14:textId="0BE4892D" w:rsidR="00BA1891" w:rsidRPr="00690D17" w:rsidRDefault="00BA1891" w:rsidP="00E42F2B">
      <w:pPr>
        <w:spacing w:after="0" w:line="240" w:lineRule="auto"/>
        <w:jc w:val="both"/>
        <w:rPr>
          <w:rFonts w:eastAsia="Times New Roman" w:cstheme="minorHAnsi"/>
          <w:lang w:eastAsia="en-GB"/>
        </w:rPr>
      </w:pPr>
      <w:r w:rsidRPr="00690D17">
        <w:rPr>
          <w:rFonts w:eastAsia="Times New Roman" w:cstheme="minorHAnsi"/>
          <w:lang w:eastAsia="en-GB"/>
        </w:rPr>
        <w:t>This is entirely up to each individual PCN.</w:t>
      </w:r>
      <w:r w:rsidR="0004286C" w:rsidRPr="00690D17">
        <w:rPr>
          <w:rFonts w:eastAsia="Times New Roman" w:cstheme="minorHAnsi"/>
          <w:lang w:eastAsia="en-GB"/>
        </w:rPr>
        <w:t xml:space="preserve"> PCNs will be aware that regardless of whether or not they take up their entitlement to these practitioner roles, all ICSs will be implementing plans to transform community mental health services and </w:t>
      </w:r>
      <w:r w:rsidR="00594DAC" w:rsidRPr="00690D17">
        <w:rPr>
          <w:rFonts w:eastAsia="Times New Roman" w:cstheme="minorHAnsi"/>
          <w:lang w:eastAsia="en-GB"/>
        </w:rPr>
        <w:t>will be delivering new models of integrated primary and community mental health care for adults and older adults with severe mental health problem</w:t>
      </w:r>
      <w:r w:rsidR="00F93F2D">
        <w:rPr>
          <w:rFonts w:eastAsia="Times New Roman" w:cstheme="minorHAnsi"/>
          <w:lang w:eastAsia="en-GB"/>
        </w:rPr>
        <w:t>s</w:t>
      </w:r>
      <w:r w:rsidR="00594DAC" w:rsidRPr="00690D17">
        <w:rPr>
          <w:rFonts w:eastAsia="Times New Roman" w:cstheme="minorHAnsi"/>
          <w:lang w:eastAsia="en-GB"/>
        </w:rPr>
        <w:t xml:space="preserve"> in every PCN by March 2024.</w:t>
      </w:r>
    </w:p>
    <w:p w14:paraId="7A0A1E19" w14:textId="77777777" w:rsidR="00BA1891" w:rsidRPr="00690D17" w:rsidRDefault="00BA1891" w:rsidP="00E42F2B">
      <w:pPr>
        <w:spacing w:after="0" w:line="240" w:lineRule="auto"/>
        <w:jc w:val="both"/>
        <w:rPr>
          <w:rFonts w:eastAsia="Times New Roman" w:cstheme="minorHAnsi"/>
          <w:lang w:eastAsia="en-GB"/>
        </w:rPr>
      </w:pPr>
    </w:p>
    <w:p w14:paraId="45F55E08" w14:textId="384AF2F1" w:rsidR="00EE0C0C" w:rsidRPr="00690D17" w:rsidRDefault="002467EB" w:rsidP="00E42F2B">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 xml:space="preserve">I'm worried about B5s acting as lone practitioners. I think that could be risky for them and the patients. </w:t>
      </w:r>
    </w:p>
    <w:p w14:paraId="2EE7800A" w14:textId="0227D189" w:rsidR="00B77D73" w:rsidRPr="00690D17" w:rsidRDefault="00B77D73" w:rsidP="00E42F2B">
      <w:pPr>
        <w:spacing w:after="0" w:line="240" w:lineRule="auto"/>
        <w:contextualSpacing/>
        <w:jc w:val="both"/>
        <w:rPr>
          <w:rFonts w:eastAsia="Times New Roman" w:cstheme="minorHAnsi"/>
          <w:lang w:eastAsia="en-GB"/>
        </w:rPr>
      </w:pPr>
    </w:p>
    <w:p w14:paraId="6842C091" w14:textId="30DC4BA8" w:rsidR="00F90906" w:rsidRPr="00690D17" w:rsidRDefault="00B77D73" w:rsidP="00E42F2B">
      <w:pPr>
        <w:spacing w:after="0" w:line="240" w:lineRule="auto"/>
        <w:contextualSpacing/>
        <w:jc w:val="both"/>
        <w:rPr>
          <w:rFonts w:eastAsia="Times New Roman" w:cstheme="minorHAnsi"/>
          <w:lang w:eastAsia="en-GB"/>
        </w:rPr>
      </w:pPr>
      <w:r w:rsidRPr="00690D17">
        <w:rPr>
          <w:rFonts w:eastAsia="Times New Roman" w:cstheme="minorHAnsi"/>
          <w:lang w:eastAsia="en-GB"/>
        </w:rPr>
        <w:t>It is essential that PCNs and providers work together to ensure that the practitioner is well</w:t>
      </w:r>
      <w:r w:rsidR="00B16D28">
        <w:rPr>
          <w:rFonts w:eastAsia="Times New Roman" w:cstheme="minorHAnsi"/>
          <w:lang w:eastAsia="en-GB"/>
        </w:rPr>
        <w:t xml:space="preserve"> </w:t>
      </w:r>
      <w:r w:rsidRPr="00690D17">
        <w:rPr>
          <w:rFonts w:eastAsia="Times New Roman" w:cstheme="minorHAnsi"/>
          <w:lang w:eastAsia="en-GB"/>
        </w:rPr>
        <w:t>supported by the PCN MDT and community mental health MDT</w:t>
      </w:r>
      <w:r w:rsidR="00B16D28">
        <w:rPr>
          <w:rFonts w:eastAsia="Times New Roman" w:cstheme="minorHAnsi"/>
          <w:lang w:eastAsia="en-GB"/>
        </w:rPr>
        <w:t xml:space="preserve"> with appropriate clinical supervision arrangements in place.  </w:t>
      </w:r>
      <w:r w:rsidR="00F90906">
        <w:rPr>
          <w:rFonts w:eastAsia="Times New Roman" w:cstheme="minorHAnsi"/>
          <w:lang w:eastAsia="en-GB"/>
        </w:rPr>
        <w:t xml:space="preserve">NHSEI </w:t>
      </w:r>
      <w:hyperlink r:id="rId15" w:history="1">
        <w:r w:rsidR="00F90906" w:rsidRPr="00F90906">
          <w:rPr>
            <w:rStyle w:val="Hyperlink"/>
            <w:rFonts w:eastAsia="Times New Roman" w:cstheme="minorHAnsi"/>
            <w:lang w:eastAsia="en-GB"/>
          </w:rPr>
          <w:t>clinical super</w:t>
        </w:r>
        <w:r w:rsidR="00F90906" w:rsidRPr="00F90906">
          <w:rPr>
            <w:rStyle w:val="Hyperlink"/>
            <w:rFonts w:eastAsia="Times New Roman" w:cstheme="minorHAnsi"/>
            <w:lang w:eastAsia="en-GB"/>
          </w:rPr>
          <w:t>v</w:t>
        </w:r>
        <w:r w:rsidR="00F90906" w:rsidRPr="00F90906">
          <w:rPr>
            <w:rStyle w:val="Hyperlink"/>
            <w:rFonts w:eastAsia="Times New Roman" w:cstheme="minorHAnsi"/>
            <w:lang w:eastAsia="en-GB"/>
          </w:rPr>
          <w:t>ision information</w:t>
        </w:r>
      </w:hyperlink>
      <w:r w:rsidR="00F90906">
        <w:rPr>
          <w:rFonts w:eastAsia="Times New Roman" w:cstheme="minorHAnsi"/>
          <w:lang w:eastAsia="en-GB"/>
        </w:rPr>
        <w:t xml:space="preserve"> can be accessed here. </w:t>
      </w:r>
    </w:p>
    <w:p w14:paraId="3B047BF7" w14:textId="77777777" w:rsidR="00EE0C0C" w:rsidRPr="00690D17" w:rsidRDefault="00EE0C0C" w:rsidP="00E42F2B">
      <w:pPr>
        <w:spacing w:after="0" w:line="240" w:lineRule="auto"/>
        <w:jc w:val="both"/>
        <w:rPr>
          <w:rFonts w:eastAsia="Times New Roman" w:cstheme="minorHAnsi"/>
          <w:lang w:eastAsia="en-GB"/>
        </w:rPr>
      </w:pPr>
    </w:p>
    <w:p w14:paraId="4BE61FC8" w14:textId="5B7C6863" w:rsidR="00EE0C0C" w:rsidRPr="00690D17" w:rsidRDefault="00EE0C0C" w:rsidP="00E42F2B">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What’s the link between SPLWs</w:t>
      </w:r>
      <w:r w:rsidR="005D52DC" w:rsidRPr="00690D17">
        <w:rPr>
          <w:rFonts w:eastAsia="Times New Roman" w:cstheme="minorHAnsi"/>
          <w:b/>
          <w:bCs/>
          <w:lang w:eastAsia="en-GB"/>
        </w:rPr>
        <w:t>,</w:t>
      </w:r>
      <w:r w:rsidRPr="00690D17">
        <w:rPr>
          <w:rFonts w:eastAsia="Times New Roman" w:cstheme="minorHAnsi"/>
          <w:b/>
          <w:bCs/>
          <w:lang w:eastAsia="en-GB"/>
        </w:rPr>
        <w:t xml:space="preserve"> health and wellbeing practitioners</w:t>
      </w:r>
      <w:r w:rsidR="005D52DC" w:rsidRPr="00690D17">
        <w:rPr>
          <w:rFonts w:eastAsia="Times New Roman" w:cstheme="minorHAnsi"/>
          <w:b/>
          <w:bCs/>
          <w:lang w:eastAsia="en-GB"/>
        </w:rPr>
        <w:t>,</w:t>
      </w:r>
      <w:r w:rsidRPr="00690D17">
        <w:rPr>
          <w:rFonts w:eastAsia="Times New Roman" w:cstheme="minorHAnsi"/>
          <w:b/>
          <w:bCs/>
          <w:lang w:eastAsia="en-GB"/>
        </w:rPr>
        <w:t xml:space="preserve"> and others in the </w:t>
      </w:r>
      <w:r w:rsidR="005D52DC" w:rsidRPr="00690D17">
        <w:rPr>
          <w:rFonts w:eastAsia="Times New Roman" w:cstheme="minorHAnsi"/>
          <w:b/>
          <w:bCs/>
          <w:lang w:eastAsia="en-GB"/>
        </w:rPr>
        <w:t>PCN</w:t>
      </w:r>
      <w:r w:rsidRPr="00690D17">
        <w:rPr>
          <w:rFonts w:eastAsia="Times New Roman" w:cstheme="minorHAnsi"/>
          <w:b/>
          <w:bCs/>
          <w:lang w:eastAsia="en-GB"/>
        </w:rPr>
        <w:t xml:space="preserve"> workforce?</w:t>
      </w:r>
    </w:p>
    <w:p w14:paraId="0C6428F2" w14:textId="4EBD76E7" w:rsidR="00F6415C" w:rsidRPr="00690D17" w:rsidRDefault="00F6415C" w:rsidP="00E42F2B">
      <w:pPr>
        <w:spacing w:after="0" w:line="240" w:lineRule="auto"/>
        <w:contextualSpacing/>
        <w:jc w:val="both"/>
        <w:rPr>
          <w:rFonts w:eastAsia="Times New Roman" w:cstheme="minorHAnsi"/>
          <w:lang w:eastAsia="en-GB"/>
        </w:rPr>
      </w:pPr>
    </w:p>
    <w:p w14:paraId="55876D0F" w14:textId="05A4E948" w:rsidR="005D52DC" w:rsidRPr="00690D17" w:rsidRDefault="0067528B" w:rsidP="00E42F2B">
      <w:pPr>
        <w:spacing w:after="0" w:line="240" w:lineRule="auto"/>
        <w:contextualSpacing/>
        <w:jc w:val="both"/>
        <w:rPr>
          <w:rFonts w:eastAsia="Times New Roman" w:cstheme="minorHAnsi"/>
          <w:lang w:eastAsia="en-GB"/>
        </w:rPr>
      </w:pPr>
      <w:r w:rsidRPr="00690D17">
        <w:rPr>
          <w:rFonts w:eastAsia="Times New Roman" w:cstheme="minorHAnsi"/>
          <w:lang w:eastAsia="en-GB"/>
        </w:rPr>
        <w:t>Please see section 8.5 from page 28 onwards in t</w:t>
      </w:r>
      <w:r w:rsidR="00F93F2D">
        <w:rPr>
          <w:rFonts w:eastAsia="Times New Roman" w:cstheme="minorHAnsi"/>
          <w:lang w:eastAsia="en-GB"/>
        </w:rPr>
        <w:t>he link</w:t>
      </w:r>
      <w:r w:rsidRPr="00690D17">
        <w:rPr>
          <w:rFonts w:eastAsia="Times New Roman" w:cstheme="minorHAnsi"/>
          <w:lang w:eastAsia="en-GB"/>
        </w:rPr>
        <w:t xml:space="preserve"> provided: </w:t>
      </w:r>
      <w:hyperlink r:id="rId16" w:history="1">
        <w:r w:rsidRPr="00690D17">
          <w:rPr>
            <w:rStyle w:val="Hyperlink"/>
            <w:rFonts w:eastAsia="Times New Roman" w:cstheme="minorHAnsi"/>
            <w:lang w:eastAsia="en-GB"/>
          </w:rPr>
          <w:t>https://www.england.nhs.uk/wp-content/uploads/2020/03/network-contract-des-guidance-2020-21.pdf</w:t>
        </w:r>
      </w:hyperlink>
      <w:r w:rsidRPr="00690D17">
        <w:rPr>
          <w:rFonts w:eastAsia="Times New Roman" w:cstheme="minorHAnsi"/>
          <w:lang w:eastAsia="en-GB"/>
        </w:rPr>
        <w:t xml:space="preserve"> </w:t>
      </w:r>
    </w:p>
    <w:p w14:paraId="48138A76" w14:textId="77777777" w:rsidR="00F6415C" w:rsidRPr="00690D17" w:rsidRDefault="00F6415C" w:rsidP="00E42F2B">
      <w:pPr>
        <w:spacing w:after="0" w:line="240" w:lineRule="auto"/>
        <w:contextualSpacing/>
        <w:jc w:val="both"/>
        <w:rPr>
          <w:rFonts w:eastAsia="Times New Roman" w:cstheme="minorHAnsi"/>
          <w:lang w:eastAsia="en-GB"/>
        </w:rPr>
      </w:pPr>
    </w:p>
    <w:p w14:paraId="565E1BF0" w14:textId="13B0C511" w:rsidR="00EE0C0C" w:rsidRDefault="00EE0C0C" w:rsidP="00E42F2B">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 xml:space="preserve">How have the links been made with IAPT on this? </w:t>
      </w:r>
    </w:p>
    <w:p w14:paraId="1553CE55" w14:textId="77777777" w:rsidR="00B16D28" w:rsidRPr="00690D17" w:rsidRDefault="00B16D28" w:rsidP="00E42F2B">
      <w:pPr>
        <w:spacing w:after="0" w:line="240" w:lineRule="auto"/>
        <w:contextualSpacing/>
        <w:jc w:val="both"/>
        <w:rPr>
          <w:rFonts w:eastAsia="Times New Roman" w:cstheme="minorHAnsi"/>
          <w:b/>
          <w:bCs/>
          <w:lang w:eastAsia="en-GB"/>
        </w:rPr>
      </w:pPr>
    </w:p>
    <w:p w14:paraId="667BDD86" w14:textId="7511AEA4" w:rsidR="0067528B" w:rsidRPr="00690D17" w:rsidRDefault="00B16D28" w:rsidP="00E42F2B">
      <w:pPr>
        <w:spacing w:after="0" w:line="240" w:lineRule="auto"/>
        <w:contextualSpacing/>
        <w:jc w:val="both"/>
        <w:rPr>
          <w:rFonts w:eastAsia="Times New Roman" w:cstheme="minorHAnsi"/>
          <w:lang w:eastAsia="en-GB"/>
        </w:rPr>
      </w:pPr>
      <w:r>
        <w:rPr>
          <w:rFonts w:eastAsia="Times New Roman" w:cstheme="minorHAnsi"/>
          <w:lang w:eastAsia="en-GB"/>
        </w:rPr>
        <w:t>Local partners will need</w:t>
      </w:r>
      <w:r w:rsidR="0049566F" w:rsidRPr="00690D17">
        <w:rPr>
          <w:rFonts w:eastAsia="Times New Roman" w:cstheme="minorHAnsi"/>
          <w:lang w:eastAsia="en-GB"/>
        </w:rPr>
        <w:t xml:space="preserve"> to ensure that </w:t>
      </w:r>
      <w:r>
        <w:rPr>
          <w:rFonts w:eastAsia="Times New Roman" w:cstheme="minorHAnsi"/>
          <w:lang w:eastAsia="en-GB"/>
        </w:rPr>
        <w:t xml:space="preserve">there are comprehensive primary and community care services that dove tail together to meet the different </w:t>
      </w:r>
      <w:r w:rsidR="00F93F2D">
        <w:rPr>
          <w:rFonts w:eastAsia="Times New Roman" w:cstheme="minorHAnsi"/>
          <w:lang w:eastAsia="en-GB"/>
        </w:rPr>
        <w:t xml:space="preserve">needs of patients and </w:t>
      </w:r>
      <w:r>
        <w:rPr>
          <w:rFonts w:eastAsia="Times New Roman" w:cstheme="minorHAnsi"/>
          <w:lang w:eastAsia="en-GB"/>
        </w:rPr>
        <w:t xml:space="preserve">eliminate the gaps </w:t>
      </w:r>
      <w:r>
        <w:rPr>
          <w:rFonts w:eastAsia="Times New Roman" w:cstheme="minorHAnsi"/>
          <w:lang w:eastAsia="en-GB"/>
        </w:rPr>
        <w:lastRenderedPageBreak/>
        <w:t>between services. T</w:t>
      </w:r>
      <w:r w:rsidR="001C25C7" w:rsidRPr="00690D17">
        <w:rPr>
          <w:rFonts w:eastAsia="Times New Roman" w:cstheme="minorHAnsi"/>
          <w:lang w:eastAsia="en-GB"/>
        </w:rPr>
        <w:t>his role will help build capacity within local systems to respond to mental health needs.</w:t>
      </w:r>
    </w:p>
    <w:p w14:paraId="0E238CE9" w14:textId="77777777" w:rsidR="0049566F" w:rsidRPr="00690D17" w:rsidRDefault="0049566F" w:rsidP="00E42F2B">
      <w:pPr>
        <w:spacing w:after="0" w:line="240" w:lineRule="auto"/>
        <w:contextualSpacing/>
        <w:jc w:val="both"/>
        <w:rPr>
          <w:rFonts w:eastAsia="Times New Roman" w:cstheme="minorHAnsi"/>
          <w:lang w:eastAsia="en-GB"/>
        </w:rPr>
      </w:pPr>
    </w:p>
    <w:p w14:paraId="0F352DFD" w14:textId="23A2CC2E" w:rsidR="00EE0C0C" w:rsidRPr="00690D17" w:rsidRDefault="00EE0C0C" w:rsidP="00E42F2B">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In the standard contract section, it cites the 'Primary and Community Mental Health Service guidance' is this one and the same as the Community Framework or is it another document awaited?</w:t>
      </w:r>
    </w:p>
    <w:p w14:paraId="377FC62C" w14:textId="3BE24812" w:rsidR="00AD4959" w:rsidRPr="00690D17" w:rsidRDefault="00AD4959" w:rsidP="00E42F2B">
      <w:pPr>
        <w:spacing w:after="0" w:line="240" w:lineRule="auto"/>
        <w:contextualSpacing/>
        <w:jc w:val="both"/>
        <w:rPr>
          <w:rFonts w:eastAsia="Times New Roman" w:cstheme="minorHAnsi"/>
          <w:lang w:eastAsia="en-GB"/>
        </w:rPr>
      </w:pPr>
    </w:p>
    <w:p w14:paraId="72F3BC51" w14:textId="1E020AB4" w:rsidR="00AD4959" w:rsidRPr="00690D17" w:rsidRDefault="00AD4959" w:rsidP="00E42F2B">
      <w:pPr>
        <w:spacing w:after="0" w:line="240" w:lineRule="auto"/>
        <w:contextualSpacing/>
        <w:jc w:val="both"/>
        <w:rPr>
          <w:rFonts w:eastAsia="Times New Roman" w:cstheme="minorHAnsi"/>
          <w:lang w:eastAsia="en-GB"/>
        </w:rPr>
      </w:pPr>
      <w:r w:rsidRPr="00690D17">
        <w:rPr>
          <w:rFonts w:eastAsia="Times New Roman" w:cstheme="minorHAnsi"/>
          <w:lang w:eastAsia="en-GB"/>
        </w:rPr>
        <w:t>This refers to guidan</w:t>
      </w:r>
      <w:r w:rsidR="00B16D28">
        <w:rPr>
          <w:rFonts w:eastAsia="Times New Roman" w:cstheme="minorHAnsi"/>
          <w:lang w:eastAsia="en-GB"/>
        </w:rPr>
        <w:t>ce due to be published shortly rather than</w:t>
      </w:r>
      <w:r w:rsidRPr="00690D17">
        <w:rPr>
          <w:rFonts w:eastAsia="Times New Roman" w:cstheme="minorHAnsi"/>
          <w:lang w:eastAsia="en-GB"/>
        </w:rPr>
        <w:t xml:space="preserve"> the Community Mental Health Framework, </w:t>
      </w:r>
      <w:r w:rsidR="00157B7B">
        <w:rPr>
          <w:rFonts w:eastAsia="Times New Roman" w:cstheme="minorHAnsi"/>
          <w:lang w:eastAsia="en-GB"/>
        </w:rPr>
        <w:t>al</w:t>
      </w:r>
      <w:r w:rsidRPr="00690D17">
        <w:rPr>
          <w:rFonts w:eastAsia="Times New Roman" w:cstheme="minorHAnsi"/>
          <w:lang w:eastAsia="en-GB"/>
        </w:rPr>
        <w:t>though the Framework</w:t>
      </w:r>
      <w:r w:rsidR="00157B7B">
        <w:rPr>
          <w:rFonts w:eastAsia="Times New Roman" w:cstheme="minorHAnsi"/>
          <w:lang w:eastAsia="en-GB"/>
        </w:rPr>
        <w:t xml:space="preserve"> remains an important reference</w:t>
      </w:r>
      <w:r w:rsidR="00966A6C" w:rsidRPr="00690D17">
        <w:rPr>
          <w:rFonts w:eastAsia="Times New Roman" w:cstheme="minorHAnsi"/>
          <w:lang w:eastAsia="en-GB"/>
        </w:rPr>
        <w:t xml:space="preserve"> t</w:t>
      </w:r>
      <w:r w:rsidR="0055709E" w:rsidRPr="00690D17">
        <w:rPr>
          <w:rFonts w:eastAsia="Times New Roman" w:cstheme="minorHAnsi"/>
          <w:lang w:eastAsia="en-GB"/>
        </w:rPr>
        <w:t>hat</w:t>
      </w:r>
      <w:r w:rsidR="00966A6C" w:rsidRPr="00690D17">
        <w:rPr>
          <w:rFonts w:eastAsia="Times New Roman" w:cstheme="minorHAnsi"/>
          <w:lang w:eastAsia="en-GB"/>
        </w:rPr>
        <w:t xml:space="preserve"> describe</w:t>
      </w:r>
      <w:r w:rsidR="0055709E" w:rsidRPr="00690D17">
        <w:rPr>
          <w:rFonts w:eastAsia="Times New Roman" w:cstheme="minorHAnsi"/>
          <w:lang w:eastAsia="en-GB"/>
        </w:rPr>
        <w:t>s</w:t>
      </w:r>
      <w:r w:rsidR="00966A6C" w:rsidRPr="00690D17">
        <w:rPr>
          <w:rFonts w:eastAsia="Times New Roman" w:cstheme="minorHAnsi"/>
          <w:lang w:eastAsia="en-GB"/>
        </w:rPr>
        <w:t xml:space="preserve"> the overall transformation ambitions for community mental health services </w:t>
      </w:r>
    </w:p>
    <w:p w14:paraId="25DFA272" w14:textId="77777777" w:rsidR="00AD4959" w:rsidRPr="00690D17" w:rsidRDefault="00AD4959" w:rsidP="00E42F2B">
      <w:pPr>
        <w:spacing w:after="0" w:line="240" w:lineRule="auto"/>
        <w:contextualSpacing/>
        <w:jc w:val="both"/>
        <w:rPr>
          <w:rFonts w:eastAsia="Times New Roman" w:cstheme="minorHAnsi"/>
          <w:lang w:eastAsia="en-GB"/>
        </w:rPr>
      </w:pPr>
    </w:p>
    <w:p w14:paraId="4CAF1094" w14:textId="05725D56" w:rsidR="00EE0C0C" w:rsidRPr="00690D17" w:rsidRDefault="00F3173A" w:rsidP="00E42F2B">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 xml:space="preserve">It has been </w:t>
      </w:r>
      <w:r w:rsidR="00EE0C0C" w:rsidRPr="00690D17">
        <w:rPr>
          <w:rFonts w:eastAsia="Times New Roman" w:cstheme="minorHAnsi"/>
          <w:b/>
          <w:bCs/>
          <w:lang w:eastAsia="en-GB"/>
        </w:rPr>
        <w:t>suggested</w:t>
      </w:r>
      <w:r w:rsidRPr="00690D17">
        <w:rPr>
          <w:rFonts w:eastAsia="Times New Roman" w:cstheme="minorHAnsi"/>
          <w:b/>
          <w:bCs/>
          <w:lang w:eastAsia="en-GB"/>
        </w:rPr>
        <w:t xml:space="preserve"> that</w:t>
      </w:r>
      <w:r w:rsidR="00EE0C0C" w:rsidRPr="00690D17">
        <w:rPr>
          <w:rFonts w:eastAsia="Times New Roman" w:cstheme="minorHAnsi"/>
          <w:b/>
          <w:bCs/>
          <w:lang w:eastAsia="en-GB"/>
        </w:rPr>
        <w:t xml:space="preserve"> providers don't need to employ new people but can use those in current roles, so that whilst these will be 'additional' from a PCN perspective they will not have to be additional necessarily to the provider? This appears to contradict my reading at least of standard contract consultation which states all roles must be additional posts and CCGs will need to fund these?</w:t>
      </w:r>
    </w:p>
    <w:p w14:paraId="0F73680A" w14:textId="596AF929" w:rsidR="00F3173A" w:rsidRPr="00690D17" w:rsidRDefault="00F3173A" w:rsidP="00E42F2B">
      <w:pPr>
        <w:spacing w:after="0" w:line="240" w:lineRule="auto"/>
        <w:contextualSpacing/>
        <w:jc w:val="both"/>
        <w:rPr>
          <w:rFonts w:eastAsia="Times New Roman" w:cstheme="minorHAnsi"/>
          <w:lang w:eastAsia="en-GB"/>
        </w:rPr>
      </w:pPr>
    </w:p>
    <w:p w14:paraId="77E57634" w14:textId="6DC0B9B8" w:rsidR="00F3173A" w:rsidRPr="00690D17" w:rsidRDefault="00F3173A" w:rsidP="00E42F2B">
      <w:pPr>
        <w:spacing w:after="0" w:line="240" w:lineRule="auto"/>
        <w:contextualSpacing/>
        <w:jc w:val="both"/>
        <w:rPr>
          <w:rFonts w:eastAsia="Times New Roman" w:cstheme="minorHAnsi"/>
          <w:lang w:eastAsia="en-GB"/>
        </w:rPr>
      </w:pPr>
      <w:r w:rsidRPr="00690D17">
        <w:rPr>
          <w:rFonts w:eastAsia="Times New Roman" w:cstheme="minorHAnsi"/>
          <w:lang w:eastAsia="en-GB"/>
        </w:rPr>
        <w:t xml:space="preserve">The roles need to be ‘additional’ </w:t>
      </w:r>
      <w:r w:rsidR="00696F99" w:rsidRPr="00690D17">
        <w:rPr>
          <w:rFonts w:eastAsia="Times New Roman" w:cstheme="minorHAnsi"/>
          <w:lang w:eastAsia="en-GB"/>
        </w:rPr>
        <w:t xml:space="preserve">to those mental health practitioner roles, employed by secondary mental health providers, working as part of the PCN core MDT or in general practice as at 31 January 2021. </w:t>
      </w:r>
    </w:p>
    <w:p w14:paraId="731BE6D0" w14:textId="77777777" w:rsidR="00EE0C0C" w:rsidRPr="00690D17" w:rsidRDefault="00EE0C0C" w:rsidP="00E42F2B">
      <w:pPr>
        <w:spacing w:after="0" w:line="240" w:lineRule="auto"/>
        <w:ind w:left="720"/>
        <w:contextualSpacing/>
        <w:jc w:val="both"/>
        <w:rPr>
          <w:rFonts w:eastAsia="Times New Roman" w:cstheme="minorHAnsi"/>
          <w:lang w:eastAsia="en-GB"/>
        </w:rPr>
      </w:pPr>
    </w:p>
    <w:p w14:paraId="6C7102A8" w14:textId="3A94F64E" w:rsidR="00EE0C0C" w:rsidRPr="00690D17" w:rsidRDefault="00EE0C0C" w:rsidP="00E42F2B">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 xml:space="preserve">Some </w:t>
      </w:r>
      <w:r w:rsidR="00157B7B">
        <w:rPr>
          <w:rFonts w:eastAsia="Times New Roman" w:cstheme="minorHAnsi"/>
          <w:b/>
          <w:bCs/>
          <w:lang w:eastAsia="en-GB"/>
        </w:rPr>
        <w:t>PCNs</w:t>
      </w:r>
      <w:r w:rsidRPr="00690D17">
        <w:rPr>
          <w:rFonts w:eastAsia="Times New Roman" w:cstheme="minorHAnsi"/>
          <w:b/>
          <w:bCs/>
          <w:lang w:eastAsia="en-GB"/>
        </w:rPr>
        <w:t xml:space="preserve"> are proposing to use PCN underspends to fund MH roles rather than ARRS</w:t>
      </w:r>
      <w:r w:rsidR="001D6B23" w:rsidRPr="00690D17">
        <w:rPr>
          <w:rFonts w:eastAsia="Times New Roman" w:cstheme="minorHAnsi"/>
          <w:b/>
          <w:bCs/>
          <w:lang w:eastAsia="en-GB"/>
        </w:rPr>
        <w:t>. Is that OK?</w:t>
      </w:r>
    </w:p>
    <w:p w14:paraId="333DB4AC" w14:textId="77777777" w:rsidR="00E96B96" w:rsidRPr="00690D17" w:rsidRDefault="00E96B96" w:rsidP="00E42F2B">
      <w:pPr>
        <w:spacing w:after="0" w:line="240" w:lineRule="auto"/>
        <w:contextualSpacing/>
        <w:jc w:val="both"/>
        <w:rPr>
          <w:rFonts w:eastAsia="Times New Roman" w:cstheme="minorHAnsi"/>
          <w:lang w:eastAsia="en-GB"/>
        </w:rPr>
      </w:pPr>
    </w:p>
    <w:p w14:paraId="312E09C9" w14:textId="0F13B526" w:rsidR="001D6B23" w:rsidRPr="00690D17" w:rsidRDefault="00157B7B" w:rsidP="00E42F2B">
      <w:pPr>
        <w:spacing w:after="0" w:line="240" w:lineRule="auto"/>
        <w:contextualSpacing/>
        <w:jc w:val="both"/>
        <w:rPr>
          <w:rFonts w:eastAsia="Times New Roman" w:cstheme="minorHAnsi"/>
          <w:lang w:eastAsia="en-GB"/>
        </w:rPr>
      </w:pPr>
      <w:r>
        <w:rPr>
          <w:rFonts w:eastAsia="Times New Roman" w:cstheme="minorHAnsi"/>
          <w:lang w:eastAsia="en-GB"/>
        </w:rPr>
        <w:t xml:space="preserve">We would suggest that these kinds of proposals are discussed with the CCG and ICS. Underspends on the ARRS budget are held by the CCG and PCNs would still need to meet the requirements of the joint model to use any underspend. </w:t>
      </w:r>
    </w:p>
    <w:p w14:paraId="296CE93A" w14:textId="77777777" w:rsidR="001D6B23" w:rsidRPr="00690D17" w:rsidRDefault="001D6B23" w:rsidP="00E42F2B">
      <w:pPr>
        <w:spacing w:after="0" w:line="240" w:lineRule="auto"/>
        <w:contextualSpacing/>
        <w:jc w:val="both"/>
        <w:rPr>
          <w:rFonts w:eastAsia="Times New Roman" w:cstheme="minorHAnsi"/>
          <w:lang w:eastAsia="en-GB"/>
        </w:rPr>
      </w:pPr>
    </w:p>
    <w:p w14:paraId="5A666E38" w14:textId="40D69965" w:rsidR="00EE0C0C" w:rsidRPr="00690D17" w:rsidRDefault="00EE0C0C" w:rsidP="00E42F2B">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Is the match funding the part that can then be reimbursed through the ARRS?</w:t>
      </w:r>
    </w:p>
    <w:p w14:paraId="03C78279" w14:textId="0EF25A81" w:rsidR="00E96B96" w:rsidRPr="00690D17" w:rsidRDefault="00E96B96" w:rsidP="00E42F2B">
      <w:pPr>
        <w:spacing w:after="0" w:line="240" w:lineRule="auto"/>
        <w:contextualSpacing/>
        <w:jc w:val="both"/>
        <w:rPr>
          <w:rFonts w:eastAsia="Times New Roman" w:cstheme="minorHAnsi"/>
          <w:b/>
          <w:bCs/>
          <w:lang w:eastAsia="en-GB"/>
        </w:rPr>
      </w:pPr>
    </w:p>
    <w:p w14:paraId="0286BD91" w14:textId="6D2CEA08" w:rsidR="00E96B96" w:rsidRPr="00690D17" w:rsidRDefault="00E96B96" w:rsidP="00E42F2B">
      <w:pPr>
        <w:spacing w:after="0" w:line="240" w:lineRule="auto"/>
        <w:contextualSpacing/>
        <w:jc w:val="both"/>
        <w:rPr>
          <w:rFonts w:eastAsia="Times New Roman" w:cstheme="minorHAnsi"/>
          <w:lang w:eastAsia="en-GB"/>
        </w:rPr>
      </w:pPr>
      <w:r w:rsidRPr="00690D17">
        <w:rPr>
          <w:rFonts w:eastAsia="Times New Roman" w:cstheme="minorHAnsi"/>
          <w:lang w:eastAsia="en-GB"/>
        </w:rPr>
        <w:t>Yes</w:t>
      </w:r>
      <w:r w:rsidR="008823BB" w:rsidRPr="00690D17">
        <w:rPr>
          <w:rFonts w:eastAsia="Times New Roman" w:cstheme="minorHAnsi"/>
          <w:lang w:eastAsia="en-GB"/>
        </w:rPr>
        <w:t>.</w:t>
      </w:r>
    </w:p>
    <w:p w14:paraId="647095C9" w14:textId="77777777" w:rsidR="00EE0C0C" w:rsidRPr="00690D17" w:rsidRDefault="00EE0C0C" w:rsidP="00E42F2B">
      <w:pPr>
        <w:spacing w:after="0" w:line="240" w:lineRule="auto"/>
        <w:jc w:val="both"/>
        <w:rPr>
          <w:rFonts w:eastAsia="Times New Roman" w:cstheme="minorHAnsi"/>
          <w:lang w:eastAsia="en-GB"/>
        </w:rPr>
      </w:pPr>
    </w:p>
    <w:p w14:paraId="18321DBB" w14:textId="77777777" w:rsidR="00EE0C0C" w:rsidRPr="00690D17" w:rsidRDefault="00EE0C0C" w:rsidP="00E42F2B">
      <w:pPr>
        <w:spacing w:after="0" w:line="240" w:lineRule="auto"/>
        <w:contextualSpacing/>
        <w:jc w:val="both"/>
        <w:rPr>
          <w:rFonts w:eastAsia="Times New Roman" w:cstheme="minorHAnsi"/>
          <w:b/>
          <w:bCs/>
          <w:lang w:eastAsia="en-GB"/>
        </w:rPr>
      </w:pPr>
      <w:r w:rsidRPr="00690D17">
        <w:rPr>
          <w:rFonts w:eastAsia="Times New Roman" w:cstheme="minorHAnsi"/>
          <w:b/>
          <w:bCs/>
          <w:lang w:eastAsia="en-GB"/>
        </w:rPr>
        <w:t xml:space="preserve">How much thinking has been gone into this being a similar offer for CYP? CAMHS operates very differently </w:t>
      </w:r>
    </w:p>
    <w:p w14:paraId="53E3CC11" w14:textId="0523E121" w:rsidR="00C66B29" w:rsidRPr="00690D17" w:rsidRDefault="00C66B29" w:rsidP="00E42F2B">
      <w:pPr>
        <w:spacing w:after="160" w:line="259" w:lineRule="auto"/>
        <w:contextualSpacing/>
        <w:jc w:val="both"/>
        <w:rPr>
          <w:rFonts w:eastAsia="Calibri" w:cstheme="minorHAnsi"/>
        </w:rPr>
      </w:pPr>
    </w:p>
    <w:p w14:paraId="4C80750C" w14:textId="1FC85ABB" w:rsidR="00523AE3" w:rsidRDefault="000F3AD2" w:rsidP="00E42F2B">
      <w:pPr>
        <w:spacing w:after="160" w:line="259" w:lineRule="auto"/>
        <w:contextualSpacing/>
        <w:jc w:val="both"/>
        <w:rPr>
          <w:rFonts w:eastAsia="Calibri" w:cstheme="minorHAnsi"/>
        </w:rPr>
      </w:pPr>
      <w:r>
        <w:rPr>
          <w:rFonts w:eastAsia="Calibri" w:cstheme="minorHAnsi"/>
        </w:rPr>
        <w:t xml:space="preserve">The CYP role is entirely optional for both PCNs and providers of secondary care community mental health services for CYP. The nature of the role </w:t>
      </w:r>
      <w:r w:rsidR="00A97B0D">
        <w:rPr>
          <w:rFonts w:eastAsia="Calibri" w:cstheme="minorHAnsi"/>
        </w:rPr>
        <w:t>is more flexible and can be agreed between local partners, if they both agree that they wish to pursue such an arrangement.</w:t>
      </w:r>
    </w:p>
    <w:p w14:paraId="124A0B46" w14:textId="77777777" w:rsidR="000F3AD2" w:rsidRDefault="000F3AD2" w:rsidP="00E42F2B">
      <w:pPr>
        <w:spacing w:after="160" w:line="259" w:lineRule="auto"/>
        <w:contextualSpacing/>
        <w:jc w:val="both"/>
        <w:rPr>
          <w:rFonts w:eastAsia="Calibri" w:cstheme="minorHAnsi"/>
        </w:rPr>
      </w:pPr>
    </w:p>
    <w:p w14:paraId="2A21B9A6" w14:textId="44AE5BBB" w:rsidR="00EE0C0C" w:rsidRPr="00A97B0D" w:rsidRDefault="00EE0C0C" w:rsidP="00E42F2B">
      <w:pPr>
        <w:spacing w:after="160" w:line="259" w:lineRule="auto"/>
        <w:contextualSpacing/>
        <w:jc w:val="both"/>
        <w:rPr>
          <w:rFonts w:eastAsia="Calibri" w:cstheme="minorHAnsi"/>
          <w:b/>
          <w:bCs/>
        </w:rPr>
      </w:pPr>
      <w:r w:rsidRPr="00A97B0D">
        <w:rPr>
          <w:rFonts w:eastAsia="Calibri" w:cstheme="minorHAnsi"/>
          <w:b/>
          <w:bCs/>
        </w:rPr>
        <w:t>GP space is at a premium. Would the requirement be physical co-location?</w:t>
      </w:r>
    </w:p>
    <w:p w14:paraId="7001E7BA" w14:textId="1423BFC3" w:rsidR="00C66B29" w:rsidRDefault="00C66B29" w:rsidP="00E42F2B">
      <w:pPr>
        <w:spacing w:after="160" w:line="259" w:lineRule="auto"/>
        <w:contextualSpacing/>
        <w:jc w:val="both"/>
        <w:rPr>
          <w:rFonts w:eastAsia="Calibri" w:cstheme="minorHAnsi"/>
        </w:rPr>
      </w:pPr>
    </w:p>
    <w:p w14:paraId="3A80529D" w14:textId="05C9BC0C" w:rsidR="00C66B29" w:rsidRPr="006B051C" w:rsidRDefault="00C07DEE" w:rsidP="00E42F2B">
      <w:pPr>
        <w:spacing w:after="160" w:line="259" w:lineRule="auto"/>
        <w:contextualSpacing/>
        <w:jc w:val="both"/>
        <w:rPr>
          <w:rFonts w:eastAsia="Calibri" w:cstheme="minorHAnsi"/>
        </w:rPr>
      </w:pPr>
      <w:r>
        <w:rPr>
          <w:rFonts w:eastAsia="Calibri" w:cstheme="minorHAnsi"/>
        </w:rPr>
        <w:t>T</w:t>
      </w:r>
      <w:r w:rsidR="00C66B29">
        <w:rPr>
          <w:rFonts w:eastAsia="Calibri" w:cstheme="minorHAnsi"/>
        </w:rPr>
        <w:t>he</w:t>
      </w:r>
      <w:r w:rsidR="003E3382">
        <w:rPr>
          <w:rFonts w:eastAsia="Calibri" w:cstheme="minorHAnsi"/>
        </w:rPr>
        <w:t xml:space="preserve"> key is that the practitioner should be embedded as part of the PCN core MDT. This does not necessarily equate to physical co-location</w:t>
      </w:r>
      <w:r>
        <w:rPr>
          <w:rFonts w:eastAsia="Calibri" w:cstheme="minorHAnsi"/>
        </w:rPr>
        <w:t>.</w:t>
      </w:r>
    </w:p>
    <w:p w14:paraId="28271190" w14:textId="77777777" w:rsidR="00EE0C0C" w:rsidRPr="0083664C" w:rsidRDefault="00EE0C0C" w:rsidP="00E42F2B">
      <w:pPr>
        <w:jc w:val="both"/>
      </w:pPr>
    </w:p>
    <w:sectPr w:rsidR="00EE0C0C" w:rsidRPr="0083664C">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7578" w14:textId="77777777" w:rsidR="00667499" w:rsidRDefault="00667499" w:rsidP="00F6415C">
      <w:pPr>
        <w:spacing w:after="0" w:line="240" w:lineRule="auto"/>
      </w:pPr>
      <w:r>
        <w:separator/>
      </w:r>
    </w:p>
  </w:endnote>
  <w:endnote w:type="continuationSeparator" w:id="0">
    <w:p w14:paraId="627EFA6B" w14:textId="77777777" w:rsidR="00667499" w:rsidRDefault="00667499" w:rsidP="00F6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25024"/>
      <w:docPartObj>
        <w:docPartGallery w:val="Page Numbers (Bottom of Page)"/>
        <w:docPartUnique/>
      </w:docPartObj>
    </w:sdtPr>
    <w:sdtEndPr>
      <w:rPr>
        <w:noProof/>
      </w:rPr>
    </w:sdtEndPr>
    <w:sdtContent>
      <w:p w14:paraId="2671E752" w14:textId="49D49D50" w:rsidR="00F6415C" w:rsidRDefault="00F6415C">
        <w:pPr>
          <w:pStyle w:val="Footer"/>
          <w:jc w:val="center"/>
        </w:pPr>
        <w:r>
          <w:fldChar w:fldCharType="begin"/>
        </w:r>
        <w:r>
          <w:instrText xml:space="preserve"> PAGE   \* MERGEFORMAT </w:instrText>
        </w:r>
        <w:r>
          <w:fldChar w:fldCharType="separate"/>
        </w:r>
        <w:r w:rsidR="00B533C3">
          <w:rPr>
            <w:noProof/>
          </w:rPr>
          <w:t>1</w:t>
        </w:r>
        <w:r>
          <w:rPr>
            <w:noProof/>
          </w:rPr>
          <w:fldChar w:fldCharType="end"/>
        </w:r>
      </w:p>
    </w:sdtContent>
  </w:sdt>
  <w:p w14:paraId="7503B62E" w14:textId="77777777" w:rsidR="00F6415C" w:rsidRDefault="00F64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DD2BD" w14:textId="77777777" w:rsidR="00667499" w:rsidRDefault="00667499" w:rsidP="00F6415C">
      <w:pPr>
        <w:spacing w:after="0" w:line="240" w:lineRule="auto"/>
      </w:pPr>
      <w:r>
        <w:separator/>
      </w:r>
    </w:p>
  </w:footnote>
  <w:footnote w:type="continuationSeparator" w:id="0">
    <w:p w14:paraId="2BAB43CA" w14:textId="77777777" w:rsidR="00667499" w:rsidRDefault="00667499" w:rsidP="00F64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8A17" w14:textId="1C6B856B" w:rsidR="00F90906" w:rsidRDefault="00F90906">
    <w:pPr>
      <w:pStyle w:val="Header"/>
    </w:pPr>
    <w:r>
      <w:rPr>
        <w:noProof/>
      </w:rPr>
      <w:drawing>
        <wp:anchor distT="0" distB="0" distL="114300" distR="114300" simplePos="0" relativeHeight="251658240" behindDoc="0" locked="0" layoutInCell="1" allowOverlap="1" wp14:anchorId="00BB9F53" wp14:editId="17ABF410">
          <wp:simplePos x="0" y="0"/>
          <wp:positionH relativeFrom="column">
            <wp:posOffset>5334000</wp:posOffset>
          </wp:positionH>
          <wp:positionV relativeFrom="paragraph">
            <wp:posOffset>-192405</wp:posOffset>
          </wp:positionV>
          <wp:extent cx="1139190" cy="457200"/>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9190" cy="457200"/>
                  </a:xfrm>
                  <a:prstGeom prst="rect">
                    <a:avLst/>
                  </a:prstGeom>
                </pic:spPr>
              </pic:pic>
            </a:graphicData>
          </a:graphic>
          <wp14:sizeRelH relativeFrom="margin">
            <wp14:pctWidth>0</wp14:pctWidth>
          </wp14:sizeRelH>
          <wp14:sizeRelV relativeFrom="margin">
            <wp14:pctHeight>0</wp14:pctHeight>
          </wp14:sizeRelV>
        </wp:anchor>
      </w:drawing>
    </w:r>
  </w:p>
  <w:p w14:paraId="1E93D165" w14:textId="77777777" w:rsidR="00F90906" w:rsidRDefault="00F90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97CAE"/>
    <w:multiLevelType w:val="hybridMultilevel"/>
    <w:tmpl w:val="7A80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F7C3E"/>
    <w:multiLevelType w:val="hybridMultilevel"/>
    <w:tmpl w:val="740C8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36182"/>
    <w:multiLevelType w:val="hybridMultilevel"/>
    <w:tmpl w:val="06E61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A7DEA"/>
    <w:multiLevelType w:val="hybridMultilevel"/>
    <w:tmpl w:val="263081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707712"/>
    <w:multiLevelType w:val="hybridMultilevel"/>
    <w:tmpl w:val="8CD8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040012"/>
    <w:multiLevelType w:val="hybridMultilevel"/>
    <w:tmpl w:val="DF62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64D87"/>
    <w:multiLevelType w:val="hybridMultilevel"/>
    <w:tmpl w:val="1458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2E6E26"/>
    <w:multiLevelType w:val="hybridMultilevel"/>
    <w:tmpl w:val="FFAE7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DF3E2C"/>
    <w:multiLevelType w:val="hybridMultilevel"/>
    <w:tmpl w:val="7750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D09EB"/>
    <w:multiLevelType w:val="hybridMultilevel"/>
    <w:tmpl w:val="7A36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115A0"/>
    <w:multiLevelType w:val="hybridMultilevel"/>
    <w:tmpl w:val="80082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02205C"/>
    <w:multiLevelType w:val="hybridMultilevel"/>
    <w:tmpl w:val="3EFEF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0"/>
  </w:num>
  <w:num w:numId="5">
    <w:abstractNumId w:val="4"/>
  </w:num>
  <w:num w:numId="6">
    <w:abstractNumId w:val="2"/>
  </w:num>
  <w:num w:numId="7">
    <w:abstractNumId w:val="11"/>
  </w:num>
  <w:num w:numId="8">
    <w:abstractNumId w:val="1"/>
  </w:num>
  <w:num w:numId="9">
    <w:abstractNumId w:val="7"/>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3B7"/>
    <w:rsid w:val="0001554F"/>
    <w:rsid w:val="0002282B"/>
    <w:rsid w:val="0004286C"/>
    <w:rsid w:val="00085FE7"/>
    <w:rsid w:val="000B321A"/>
    <w:rsid w:val="000D021C"/>
    <w:rsid w:val="000F3AD2"/>
    <w:rsid w:val="00107614"/>
    <w:rsid w:val="00115404"/>
    <w:rsid w:val="001265B9"/>
    <w:rsid w:val="0013519C"/>
    <w:rsid w:val="00152132"/>
    <w:rsid w:val="00157B7B"/>
    <w:rsid w:val="00180945"/>
    <w:rsid w:val="00194E8D"/>
    <w:rsid w:val="001B105B"/>
    <w:rsid w:val="001B16B4"/>
    <w:rsid w:val="001B1D74"/>
    <w:rsid w:val="001B4324"/>
    <w:rsid w:val="001B578D"/>
    <w:rsid w:val="001C25C7"/>
    <w:rsid w:val="001C284A"/>
    <w:rsid w:val="001D1ED1"/>
    <w:rsid w:val="001D67B3"/>
    <w:rsid w:val="001D6B23"/>
    <w:rsid w:val="001E27C6"/>
    <w:rsid w:val="00220CD9"/>
    <w:rsid w:val="00235F50"/>
    <w:rsid w:val="002467EB"/>
    <w:rsid w:val="002868F0"/>
    <w:rsid w:val="002B0842"/>
    <w:rsid w:val="002E3367"/>
    <w:rsid w:val="002F13B2"/>
    <w:rsid w:val="0031495F"/>
    <w:rsid w:val="00320279"/>
    <w:rsid w:val="003226D8"/>
    <w:rsid w:val="00345AE1"/>
    <w:rsid w:val="00360D6A"/>
    <w:rsid w:val="00374ACA"/>
    <w:rsid w:val="003958CF"/>
    <w:rsid w:val="003A726C"/>
    <w:rsid w:val="003E3382"/>
    <w:rsid w:val="003E56AD"/>
    <w:rsid w:val="003F4AE7"/>
    <w:rsid w:val="00424BF1"/>
    <w:rsid w:val="00435BE7"/>
    <w:rsid w:val="00445A3A"/>
    <w:rsid w:val="004637C5"/>
    <w:rsid w:val="004849B9"/>
    <w:rsid w:val="0049566F"/>
    <w:rsid w:val="004A6A63"/>
    <w:rsid w:val="004A7309"/>
    <w:rsid w:val="004B328E"/>
    <w:rsid w:val="004B7580"/>
    <w:rsid w:val="004B783F"/>
    <w:rsid w:val="004E51D6"/>
    <w:rsid w:val="004F0E9F"/>
    <w:rsid w:val="004F2826"/>
    <w:rsid w:val="004F6A34"/>
    <w:rsid w:val="005065A6"/>
    <w:rsid w:val="00523AE3"/>
    <w:rsid w:val="00523BBF"/>
    <w:rsid w:val="00530273"/>
    <w:rsid w:val="005378F7"/>
    <w:rsid w:val="0055709E"/>
    <w:rsid w:val="00563A4E"/>
    <w:rsid w:val="00575FF1"/>
    <w:rsid w:val="00587864"/>
    <w:rsid w:val="00594DAC"/>
    <w:rsid w:val="005D52DC"/>
    <w:rsid w:val="006037B1"/>
    <w:rsid w:val="00611BA7"/>
    <w:rsid w:val="00625A36"/>
    <w:rsid w:val="00633407"/>
    <w:rsid w:val="0063611A"/>
    <w:rsid w:val="00641BC7"/>
    <w:rsid w:val="00667499"/>
    <w:rsid w:val="006704DB"/>
    <w:rsid w:val="00670865"/>
    <w:rsid w:val="00671860"/>
    <w:rsid w:val="006743E5"/>
    <w:rsid w:val="0067528B"/>
    <w:rsid w:val="00690D17"/>
    <w:rsid w:val="00696F99"/>
    <w:rsid w:val="00697941"/>
    <w:rsid w:val="006A5540"/>
    <w:rsid w:val="006B051C"/>
    <w:rsid w:val="006B5C5C"/>
    <w:rsid w:val="006C53B7"/>
    <w:rsid w:val="006C7DEA"/>
    <w:rsid w:val="006D1CF7"/>
    <w:rsid w:val="006D6ABC"/>
    <w:rsid w:val="006F327A"/>
    <w:rsid w:val="007270D5"/>
    <w:rsid w:val="00737370"/>
    <w:rsid w:val="007535E8"/>
    <w:rsid w:val="00762B25"/>
    <w:rsid w:val="007718AF"/>
    <w:rsid w:val="00787FB5"/>
    <w:rsid w:val="007B207A"/>
    <w:rsid w:val="007C1DFB"/>
    <w:rsid w:val="007D21CA"/>
    <w:rsid w:val="007E73A5"/>
    <w:rsid w:val="007E7DF7"/>
    <w:rsid w:val="007F15D1"/>
    <w:rsid w:val="007F4359"/>
    <w:rsid w:val="007F5419"/>
    <w:rsid w:val="0083664C"/>
    <w:rsid w:val="00852B5E"/>
    <w:rsid w:val="008576A1"/>
    <w:rsid w:val="00864BAF"/>
    <w:rsid w:val="008663E4"/>
    <w:rsid w:val="00880A2A"/>
    <w:rsid w:val="00881417"/>
    <w:rsid w:val="008823BB"/>
    <w:rsid w:val="00884F8C"/>
    <w:rsid w:val="008A4A21"/>
    <w:rsid w:val="008A72ED"/>
    <w:rsid w:val="008B1F74"/>
    <w:rsid w:val="008E0757"/>
    <w:rsid w:val="00914587"/>
    <w:rsid w:val="00917897"/>
    <w:rsid w:val="0094758C"/>
    <w:rsid w:val="00953CAC"/>
    <w:rsid w:val="00954E74"/>
    <w:rsid w:val="00966A6C"/>
    <w:rsid w:val="0097782E"/>
    <w:rsid w:val="0098752C"/>
    <w:rsid w:val="00992E03"/>
    <w:rsid w:val="009B597F"/>
    <w:rsid w:val="009B71B7"/>
    <w:rsid w:val="009D3DE8"/>
    <w:rsid w:val="009D7963"/>
    <w:rsid w:val="009F4917"/>
    <w:rsid w:val="009F55E0"/>
    <w:rsid w:val="00A26949"/>
    <w:rsid w:val="00A6109E"/>
    <w:rsid w:val="00A63F27"/>
    <w:rsid w:val="00A64813"/>
    <w:rsid w:val="00A7042C"/>
    <w:rsid w:val="00A83FE0"/>
    <w:rsid w:val="00A84934"/>
    <w:rsid w:val="00A915CB"/>
    <w:rsid w:val="00A91F4B"/>
    <w:rsid w:val="00A96E44"/>
    <w:rsid w:val="00A97B0D"/>
    <w:rsid w:val="00AA5096"/>
    <w:rsid w:val="00AB1038"/>
    <w:rsid w:val="00AC53EA"/>
    <w:rsid w:val="00AD4959"/>
    <w:rsid w:val="00B10834"/>
    <w:rsid w:val="00B16D28"/>
    <w:rsid w:val="00B24DD1"/>
    <w:rsid w:val="00B266AB"/>
    <w:rsid w:val="00B362A6"/>
    <w:rsid w:val="00B531EF"/>
    <w:rsid w:val="00B533C3"/>
    <w:rsid w:val="00B563C4"/>
    <w:rsid w:val="00B63E39"/>
    <w:rsid w:val="00B64783"/>
    <w:rsid w:val="00B675BE"/>
    <w:rsid w:val="00B75A07"/>
    <w:rsid w:val="00B77390"/>
    <w:rsid w:val="00B77D73"/>
    <w:rsid w:val="00B944AA"/>
    <w:rsid w:val="00BA1891"/>
    <w:rsid w:val="00BF267A"/>
    <w:rsid w:val="00C07DEE"/>
    <w:rsid w:val="00C56D9B"/>
    <w:rsid w:val="00C66B29"/>
    <w:rsid w:val="00C67A3E"/>
    <w:rsid w:val="00C75521"/>
    <w:rsid w:val="00C76C83"/>
    <w:rsid w:val="00C91775"/>
    <w:rsid w:val="00CB4BF9"/>
    <w:rsid w:val="00CB559A"/>
    <w:rsid w:val="00CD2FF1"/>
    <w:rsid w:val="00CE50D0"/>
    <w:rsid w:val="00D0133B"/>
    <w:rsid w:val="00D111F0"/>
    <w:rsid w:val="00D135F0"/>
    <w:rsid w:val="00D838B4"/>
    <w:rsid w:val="00DA2AEC"/>
    <w:rsid w:val="00DB43A3"/>
    <w:rsid w:val="00DD6372"/>
    <w:rsid w:val="00DE2D93"/>
    <w:rsid w:val="00DE6F6E"/>
    <w:rsid w:val="00DF05F7"/>
    <w:rsid w:val="00E127C9"/>
    <w:rsid w:val="00E41B33"/>
    <w:rsid w:val="00E42F2B"/>
    <w:rsid w:val="00E445DC"/>
    <w:rsid w:val="00E51E79"/>
    <w:rsid w:val="00E93FBF"/>
    <w:rsid w:val="00E9413A"/>
    <w:rsid w:val="00E96B96"/>
    <w:rsid w:val="00EC7803"/>
    <w:rsid w:val="00EE0C0C"/>
    <w:rsid w:val="00EE35B8"/>
    <w:rsid w:val="00F21493"/>
    <w:rsid w:val="00F23131"/>
    <w:rsid w:val="00F2651E"/>
    <w:rsid w:val="00F307D9"/>
    <w:rsid w:val="00F3173A"/>
    <w:rsid w:val="00F35E92"/>
    <w:rsid w:val="00F36AD9"/>
    <w:rsid w:val="00F47CF0"/>
    <w:rsid w:val="00F6415C"/>
    <w:rsid w:val="00F84888"/>
    <w:rsid w:val="00F90906"/>
    <w:rsid w:val="00F909DA"/>
    <w:rsid w:val="00F93F2D"/>
    <w:rsid w:val="00F94738"/>
    <w:rsid w:val="00FB2551"/>
    <w:rsid w:val="00FF2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F8CF"/>
  <w15:docId w15:val="{B5E2B6AE-8715-4E8F-8843-DC173261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15CB"/>
    <w:rPr>
      <w:sz w:val="16"/>
      <w:szCs w:val="16"/>
    </w:rPr>
  </w:style>
  <w:style w:type="paragraph" w:styleId="CommentText">
    <w:name w:val="annotation text"/>
    <w:basedOn w:val="Normal"/>
    <w:link w:val="CommentTextChar"/>
    <w:uiPriority w:val="99"/>
    <w:semiHidden/>
    <w:unhideWhenUsed/>
    <w:rsid w:val="00A915CB"/>
    <w:pPr>
      <w:spacing w:line="240" w:lineRule="auto"/>
    </w:pPr>
    <w:rPr>
      <w:sz w:val="20"/>
      <w:szCs w:val="20"/>
    </w:rPr>
  </w:style>
  <w:style w:type="character" w:customStyle="1" w:styleId="CommentTextChar">
    <w:name w:val="Comment Text Char"/>
    <w:basedOn w:val="DefaultParagraphFont"/>
    <w:link w:val="CommentText"/>
    <w:uiPriority w:val="99"/>
    <w:semiHidden/>
    <w:rsid w:val="00A915CB"/>
    <w:rPr>
      <w:sz w:val="20"/>
      <w:szCs w:val="20"/>
    </w:rPr>
  </w:style>
  <w:style w:type="paragraph" w:styleId="CommentSubject">
    <w:name w:val="annotation subject"/>
    <w:basedOn w:val="CommentText"/>
    <w:next w:val="CommentText"/>
    <w:link w:val="CommentSubjectChar"/>
    <w:uiPriority w:val="99"/>
    <w:semiHidden/>
    <w:unhideWhenUsed/>
    <w:rsid w:val="00A915CB"/>
    <w:rPr>
      <w:b/>
      <w:bCs/>
    </w:rPr>
  </w:style>
  <w:style w:type="character" w:customStyle="1" w:styleId="CommentSubjectChar">
    <w:name w:val="Comment Subject Char"/>
    <w:basedOn w:val="CommentTextChar"/>
    <w:link w:val="CommentSubject"/>
    <w:uiPriority w:val="99"/>
    <w:semiHidden/>
    <w:rsid w:val="00A915CB"/>
    <w:rPr>
      <w:b/>
      <w:bCs/>
      <w:sz w:val="20"/>
      <w:szCs w:val="20"/>
    </w:rPr>
  </w:style>
  <w:style w:type="paragraph" w:styleId="BalloonText">
    <w:name w:val="Balloon Text"/>
    <w:basedOn w:val="Normal"/>
    <w:link w:val="BalloonTextChar"/>
    <w:uiPriority w:val="99"/>
    <w:semiHidden/>
    <w:unhideWhenUsed/>
    <w:rsid w:val="00A91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CB"/>
    <w:rPr>
      <w:rFonts w:ascii="Segoe UI" w:hAnsi="Segoe UI" w:cs="Segoe UI"/>
      <w:sz w:val="18"/>
      <w:szCs w:val="18"/>
    </w:rPr>
  </w:style>
  <w:style w:type="paragraph" w:styleId="ListParagraph">
    <w:name w:val="List Paragraph"/>
    <w:basedOn w:val="Normal"/>
    <w:uiPriority w:val="34"/>
    <w:qFormat/>
    <w:rsid w:val="00FF2841"/>
    <w:pPr>
      <w:ind w:left="720"/>
      <w:contextualSpacing/>
    </w:pPr>
  </w:style>
  <w:style w:type="character" w:styleId="Hyperlink">
    <w:name w:val="Hyperlink"/>
    <w:basedOn w:val="DefaultParagraphFont"/>
    <w:uiPriority w:val="99"/>
    <w:unhideWhenUsed/>
    <w:rsid w:val="004A6A63"/>
    <w:rPr>
      <w:color w:val="0000FF" w:themeColor="hyperlink"/>
      <w:u w:val="single"/>
    </w:rPr>
  </w:style>
  <w:style w:type="character" w:customStyle="1" w:styleId="UnresolvedMention1">
    <w:name w:val="Unresolved Mention1"/>
    <w:basedOn w:val="DefaultParagraphFont"/>
    <w:uiPriority w:val="99"/>
    <w:semiHidden/>
    <w:unhideWhenUsed/>
    <w:rsid w:val="004A6A63"/>
    <w:rPr>
      <w:color w:val="605E5C"/>
      <w:shd w:val="clear" w:color="auto" w:fill="E1DFDD"/>
    </w:rPr>
  </w:style>
  <w:style w:type="paragraph" w:styleId="Header">
    <w:name w:val="header"/>
    <w:basedOn w:val="Normal"/>
    <w:link w:val="HeaderChar"/>
    <w:uiPriority w:val="99"/>
    <w:unhideWhenUsed/>
    <w:rsid w:val="00F64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15C"/>
  </w:style>
  <w:style w:type="paragraph" w:styleId="Footer">
    <w:name w:val="footer"/>
    <w:basedOn w:val="Normal"/>
    <w:link w:val="FooterChar"/>
    <w:uiPriority w:val="99"/>
    <w:unhideWhenUsed/>
    <w:rsid w:val="00F64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15C"/>
  </w:style>
  <w:style w:type="character" w:styleId="UnresolvedMention">
    <w:name w:val="Unresolved Mention"/>
    <w:basedOn w:val="DefaultParagraphFont"/>
    <w:uiPriority w:val="99"/>
    <w:semiHidden/>
    <w:unhideWhenUsed/>
    <w:rsid w:val="00345AE1"/>
    <w:rPr>
      <w:color w:val="605E5C"/>
      <w:shd w:val="clear" w:color="auto" w:fill="E1DFDD"/>
    </w:rPr>
  </w:style>
  <w:style w:type="character" w:styleId="FollowedHyperlink">
    <w:name w:val="FollowedHyperlink"/>
    <w:basedOn w:val="DefaultParagraphFont"/>
    <w:uiPriority w:val="99"/>
    <w:semiHidden/>
    <w:unhideWhenUsed/>
    <w:rsid w:val="00F909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gland.nhs.uk/publication/the-community-mental-health-framework-for-adults-and-older-adul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gland.nhs.uk/publication/the-community-mental-health-framework-for-adults-and-older-adul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gland.nhs.uk/wp-content/uploads/2020/03/network-contract-des-guidance-2020-2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ture.nhs.uk/P_C_N/view?objectID=92029765" TargetMode="External"/><Relationship Id="rId5" Type="http://schemas.openxmlformats.org/officeDocument/2006/relationships/styles" Target="styles.xml"/><Relationship Id="rId15" Type="http://schemas.openxmlformats.org/officeDocument/2006/relationships/hyperlink" Target="https://future.nhs.uk/P_C_N/view?objectID=92374533" TargetMode="External"/><Relationship Id="rId10" Type="http://schemas.openxmlformats.org/officeDocument/2006/relationships/hyperlink" Target="https://future.nhs.uk/P_C_N/view?objectID=92029765"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uture.nhs.uk/P_C_N/view?objectID=920297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3DEB175A2B2A49999D67241ECF4FF6" ma:contentTypeVersion="11" ma:contentTypeDescription="Create a new document." ma:contentTypeScope="" ma:versionID="0d0c4ad3cbb612a150142c5f5c38b251">
  <xsd:schema xmlns:xsd="http://www.w3.org/2001/XMLSchema" xmlns:xs="http://www.w3.org/2001/XMLSchema" xmlns:p="http://schemas.microsoft.com/office/2006/metadata/properties" xmlns:ns2="44978761-37c6-4ac2-96fc-313297643ca8" xmlns:ns3="d2e36a30-fb37-4927-8208-9afbdc20d1ac" targetNamespace="http://schemas.microsoft.com/office/2006/metadata/properties" ma:root="true" ma:fieldsID="2dbe4b2e7af9ff648dd115734e27f27e" ns2:_="" ns3:_="">
    <xsd:import namespace="44978761-37c6-4ac2-96fc-313297643ca8"/>
    <xsd:import namespace="d2e36a30-fb37-4927-8208-9afbdc20d1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78761-37c6-4ac2-96fc-313297643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36a30-fb37-4927-8208-9afbdc20d1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A4C3F-C767-476B-9923-4D3CD3628891}">
  <ds:schemaRefs>
    <ds:schemaRef ds:uri="http://schemas.microsoft.com/sharepoint/v3/contenttype/forms"/>
  </ds:schemaRefs>
</ds:datastoreItem>
</file>

<file path=customXml/itemProps2.xml><?xml version="1.0" encoding="utf-8"?>
<ds:datastoreItem xmlns:ds="http://schemas.openxmlformats.org/officeDocument/2006/customXml" ds:itemID="{52930FFD-6347-4AAF-A30B-6501947AE2CF}">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4978761-37c6-4ac2-96fc-313297643ca8"/>
    <ds:schemaRef ds:uri="http://purl.org/dc/terms/"/>
    <ds:schemaRef ds:uri="d2e36a30-fb37-4927-8208-9afbdc20d1ac"/>
    <ds:schemaRef ds:uri="http://www.w3.org/XML/1998/namespace"/>
    <ds:schemaRef ds:uri="http://purl.org/dc/dcmitype/"/>
  </ds:schemaRefs>
</ds:datastoreItem>
</file>

<file path=customXml/itemProps3.xml><?xml version="1.0" encoding="utf-8"?>
<ds:datastoreItem xmlns:ds="http://schemas.openxmlformats.org/officeDocument/2006/customXml" ds:itemID="{03D7929A-B7B4-4170-B7D3-333495CB9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78761-37c6-4ac2-96fc-313297643ca8"/>
    <ds:schemaRef ds:uri="d2e36a30-fb37-4927-8208-9afbdc20d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2567</Words>
  <Characters>14635</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Winfield Cathy</dc:creator>
  <cp:lastModifiedBy>Georgina Lilley</cp:lastModifiedBy>
  <cp:revision>2</cp:revision>
  <cp:lastPrinted>2021-02-18T12:50:00Z</cp:lastPrinted>
  <dcterms:created xsi:type="dcterms:W3CDTF">2021-02-25T10:18:00Z</dcterms:created>
  <dcterms:modified xsi:type="dcterms:W3CDTF">2021-02-25T10:18:00Z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0x010100BE3DEB175A2B2A49999D67241ECF4FF6</vt:lpwstr>
  </property>
</Properties>
</file>